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CD213" w14:textId="77777777" w:rsidR="00FD083D" w:rsidRPr="008A2A32" w:rsidRDefault="00FD083D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 xml:space="preserve">  REPUBLIKA HRVATSKA</w:t>
      </w:r>
    </w:p>
    <w:p w14:paraId="554406DB" w14:textId="77777777" w:rsidR="00FD083D" w:rsidRPr="008A2A32" w:rsidRDefault="00FD083D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OSNOVNA ŠKOLA ČAKOVCI</w:t>
      </w:r>
    </w:p>
    <w:p w14:paraId="2DC7E53D" w14:textId="77777777" w:rsidR="00FD083D" w:rsidRPr="008A2A32" w:rsidRDefault="00FD083D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 xml:space="preserve">             ČAKOVCI</w:t>
      </w:r>
    </w:p>
    <w:p w14:paraId="68B21B4A" w14:textId="77777777" w:rsidR="00FD083D" w:rsidRPr="008A2A32" w:rsidRDefault="00FD083D" w:rsidP="00DC03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CDE6B0" w14:textId="77777777" w:rsidR="00FD083D" w:rsidRPr="008A2A32" w:rsidRDefault="004E7FFC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400-0</w:t>
      </w:r>
      <w:r w:rsidR="004E7BB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/2</w:t>
      </w:r>
      <w:r w:rsidR="004E7BBB">
        <w:rPr>
          <w:rFonts w:ascii="Times New Roman" w:hAnsi="Times New Roman" w:cs="Times New Roman"/>
          <w:sz w:val="24"/>
          <w:szCs w:val="24"/>
        </w:rPr>
        <w:t>2</w:t>
      </w:r>
      <w:r w:rsidR="00FD083D" w:rsidRPr="008A2A32">
        <w:rPr>
          <w:rFonts w:ascii="Times New Roman" w:hAnsi="Times New Roman" w:cs="Times New Roman"/>
          <w:sz w:val="24"/>
          <w:szCs w:val="24"/>
        </w:rPr>
        <w:t>-01/01</w:t>
      </w:r>
    </w:p>
    <w:p w14:paraId="5D17AAA1" w14:textId="77777777" w:rsidR="00FD083D" w:rsidRPr="008A2A32" w:rsidRDefault="004E7BBB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2188-88-01-22-2</w:t>
      </w:r>
    </w:p>
    <w:p w14:paraId="6FF9C145" w14:textId="77777777" w:rsidR="00DC0390" w:rsidRPr="008A2A32" w:rsidRDefault="00DC0390" w:rsidP="00DC039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786BA7" w14:textId="0AF7A694" w:rsidR="00FD083D" w:rsidRPr="008A2A32" w:rsidRDefault="00E37F12" w:rsidP="00DC03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ČAKOVCI, </w:t>
      </w:r>
      <w:r w:rsidR="0091495C">
        <w:rPr>
          <w:rFonts w:ascii="Times New Roman" w:hAnsi="Times New Roman" w:cs="Times New Roman"/>
          <w:sz w:val="24"/>
          <w:szCs w:val="24"/>
        </w:rPr>
        <w:t xml:space="preserve">. </w:t>
      </w:r>
      <w:r w:rsidR="00971D34">
        <w:rPr>
          <w:rFonts w:ascii="Times New Roman" w:hAnsi="Times New Roman" w:cs="Times New Roman"/>
          <w:sz w:val="24"/>
          <w:szCs w:val="24"/>
        </w:rPr>
        <w:t>30. S</w:t>
      </w:r>
      <w:r w:rsidR="0091495C">
        <w:rPr>
          <w:rFonts w:ascii="Times New Roman" w:hAnsi="Times New Roman" w:cs="Times New Roman"/>
          <w:sz w:val="24"/>
          <w:szCs w:val="24"/>
        </w:rPr>
        <w:t>iječnja 202</w:t>
      </w:r>
      <w:r w:rsidR="00971D34">
        <w:rPr>
          <w:rFonts w:ascii="Times New Roman" w:hAnsi="Times New Roman" w:cs="Times New Roman"/>
          <w:sz w:val="24"/>
          <w:szCs w:val="24"/>
        </w:rPr>
        <w:t>3</w:t>
      </w:r>
      <w:r w:rsidR="00FD083D" w:rsidRPr="008A2A32">
        <w:rPr>
          <w:rFonts w:ascii="Times New Roman" w:hAnsi="Times New Roman" w:cs="Times New Roman"/>
          <w:sz w:val="24"/>
          <w:szCs w:val="24"/>
        </w:rPr>
        <w:t>.</w:t>
      </w:r>
    </w:p>
    <w:p w14:paraId="35C6BB9D" w14:textId="77777777" w:rsidR="00DC0390" w:rsidRPr="008A2A32" w:rsidRDefault="00DC0390">
      <w:pPr>
        <w:rPr>
          <w:rFonts w:ascii="Times New Roman" w:hAnsi="Times New Roman" w:cs="Times New Roman"/>
          <w:sz w:val="24"/>
          <w:szCs w:val="24"/>
        </w:rPr>
      </w:pPr>
    </w:p>
    <w:p w14:paraId="241836A0" w14:textId="7760F215" w:rsidR="00B264B0" w:rsidRPr="008A2A32" w:rsidRDefault="001C52B4" w:rsidP="00FD08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A32">
        <w:rPr>
          <w:rFonts w:ascii="Times New Roman" w:hAnsi="Times New Roman" w:cs="Times New Roman"/>
          <w:b/>
          <w:sz w:val="24"/>
          <w:szCs w:val="24"/>
        </w:rPr>
        <w:t xml:space="preserve">BILJEŠKE UZ FINANCIJSKE IZVJEŠTAJE ZA RAZDOBLJE OD </w:t>
      </w:r>
      <w:r w:rsidR="007327EB">
        <w:rPr>
          <w:rFonts w:ascii="Times New Roman" w:hAnsi="Times New Roman" w:cs="Times New Roman"/>
          <w:b/>
          <w:sz w:val="24"/>
          <w:szCs w:val="24"/>
        </w:rPr>
        <w:t>1. SIJEČNJA</w:t>
      </w:r>
      <w:r w:rsidR="001C59D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71D34">
        <w:rPr>
          <w:rFonts w:ascii="Times New Roman" w:hAnsi="Times New Roman" w:cs="Times New Roman"/>
          <w:b/>
          <w:sz w:val="24"/>
          <w:szCs w:val="24"/>
        </w:rPr>
        <w:t>2</w:t>
      </w:r>
      <w:r w:rsidR="001C59D0">
        <w:rPr>
          <w:rFonts w:ascii="Times New Roman" w:hAnsi="Times New Roman" w:cs="Times New Roman"/>
          <w:b/>
          <w:sz w:val="24"/>
          <w:szCs w:val="24"/>
        </w:rPr>
        <w:t>. DO 31. PROSINCA 202</w:t>
      </w:r>
      <w:r w:rsidR="00971D34">
        <w:rPr>
          <w:rFonts w:ascii="Times New Roman" w:hAnsi="Times New Roman" w:cs="Times New Roman"/>
          <w:b/>
          <w:sz w:val="24"/>
          <w:szCs w:val="24"/>
        </w:rPr>
        <w:t>2</w:t>
      </w:r>
      <w:r w:rsidRPr="008A2A32">
        <w:rPr>
          <w:rFonts w:ascii="Times New Roman" w:hAnsi="Times New Roman" w:cs="Times New Roman"/>
          <w:b/>
          <w:sz w:val="24"/>
          <w:szCs w:val="24"/>
        </w:rPr>
        <w:t>.</w:t>
      </w:r>
      <w:r w:rsidR="001C59D0">
        <w:rPr>
          <w:rFonts w:ascii="Times New Roman" w:hAnsi="Times New Roman" w:cs="Times New Roman"/>
          <w:b/>
          <w:sz w:val="24"/>
          <w:szCs w:val="24"/>
        </w:rPr>
        <w:t xml:space="preserve"> GODINE</w:t>
      </w:r>
    </w:p>
    <w:p w14:paraId="4FF461A1" w14:textId="77777777" w:rsidR="00FD083D" w:rsidRPr="008A2A32" w:rsidRDefault="00FD083D" w:rsidP="00FD08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523E98" w14:textId="77777777" w:rsidR="001C52B4" w:rsidRPr="008A2A32" w:rsidRDefault="00FD083D" w:rsidP="00F6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RKP:  23147</w:t>
      </w:r>
      <w:r w:rsidRPr="008A2A32">
        <w:rPr>
          <w:rFonts w:ascii="Times New Roman" w:hAnsi="Times New Roman" w:cs="Times New Roman"/>
          <w:sz w:val="24"/>
          <w:szCs w:val="24"/>
        </w:rPr>
        <w:br/>
        <w:t>Matični broj: 03007979</w:t>
      </w:r>
    </w:p>
    <w:p w14:paraId="073836A6" w14:textId="77777777" w:rsidR="001C52B4" w:rsidRPr="008A2A32" w:rsidRDefault="00FD083D" w:rsidP="00F6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OIB: 48107004999</w:t>
      </w:r>
    </w:p>
    <w:p w14:paraId="1295214D" w14:textId="77777777" w:rsidR="001C52B4" w:rsidRPr="008A2A32" w:rsidRDefault="00FD083D" w:rsidP="00F6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Naziv i adresa obveznika: OSNOVNA ŠKOLA ČAKOVCI</w:t>
      </w:r>
      <w:r w:rsidR="00871F61" w:rsidRPr="008A2A32">
        <w:rPr>
          <w:rFonts w:ascii="Times New Roman" w:hAnsi="Times New Roman" w:cs="Times New Roman"/>
          <w:sz w:val="24"/>
          <w:szCs w:val="24"/>
        </w:rPr>
        <w:t>, Šand</w:t>
      </w:r>
      <w:r w:rsidR="00584B5B" w:rsidRPr="008A2A32">
        <w:rPr>
          <w:rFonts w:ascii="Times New Roman" w:hAnsi="Times New Roman" w:cs="Times New Roman"/>
          <w:sz w:val="24"/>
          <w:szCs w:val="24"/>
        </w:rPr>
        <w:t>o</w:t>
      </w:r>
      <w:r w:rsidR="008A2A32">
        <w:rPr>
          <w:rFonts w:ascii="Times New Roman" w:hAnsi="Times New Roman" w:cs="Times New Roman"/>
          <w:sz w:val="24"/>
          <w:szCs w:val="24"/>
        </w:rPr>
        <w:t xml:space="preserve">ra </w:t>
      </w:r>
      <w:proofErr w:type="spellStart"/>
      <w:r w:rsidR="008A2A32">
        <w:rPr>
          <w:rFonts w:ascii="Times New Roman" w:hAnsi="Times New Roman" w:cs="Times New Roman"/>
          <w:sz w:val="24"/>
          <w:szCs w:val="24"/>
        </w:rPr>
        <w:t>Petefija</w:t>
      </w:r>
      <w:proofErr w:type="spellEnd"/>
      <w:r w:rsidR="008A2A32">
        <w:rPr>
          <w:rFonts w:ascii="Times New Roman" w:hAnsi="Times New Roman" w:cs="Times New Roman"/>
          <w:sz w:val="24"/>
          <w:szCs w:val="24"/>
        </w:rPr>
        <w:t xml:space="preserve"> 8, Čakovci</w:t>
      </w:r>
    </w:p>
    <w:p w14:paraId="7E2B33C7" w14:textId="77777777" w:rsidR="001C52B4" w:rsidRPr="008A2A32" w:rsidRDefault="00FD083D" w:rsidP="00F6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Oznaka razine: 31</w:t>
      </w:r>
    </w:p>
    <w:p w14:paraId="5A6E4AF5" w14:textId="77777777" w:rsidR="001C52B4" w:rsidRPr="008A2A32" w:rsidRDefault="00FD083D" w:rsidP="00F649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Šifra djelatnosti, razdjel: 8520, 000</w:t>
      </w:r>
    </w:p>
    <w:p w14:paraId="543E87F9" w14:textId="77777777" w:rsidR="001C52B4" w:rsidRPr="008A2A32" w:rsidRDefault="00FD083D" w:rsidP="00F649FA">
      <w:pPr>
        <w:tabs>
          <w:tab w:val="left" w:pos="39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Šifra županije/grada/općine: 456</w:t>
      </w:r>
      <w:r w:rsidRPr="008A2A3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7DF335AB" w14:textId="77777777" w:rsidR="001C52B4" w:rsidRDefault="00FD083D" w:rsidP="00F649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2A32">
        <w:rPr>
          <w:rFonts w:ascii="Times New Roman" w:hAnsi="Times New Roman" w:cs="Times New Roman"/>
          <w:sz w:val="24"/>
          <w:szCs w:val="24"/>
        </w:rPr>
        <w:t>Žiro račun: HR0425000091102009907</w:t>
      </w:r>
    </w:p>
    <w:p w14:paraId="765ED5A2" w14:textId="77777777" w:rsidR="0031621D" w:rsidRDefault="0031621D" w:rsidP="00F649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369313" w14:textId="77777777" w:rsidR="0031621D" w:rsidRDefault="0031621D" w:rsidP="00F649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B5170B" w14:textId="77777777" w:rsidR="0031621D" w:rsidRPr="006C4C7E" w:rsidRDefault="0031621D" w:rsidP="00316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Čako</w:t>
      </w:r>
      <w:r w:rsidR="005D6D43">
        <w:rPr>
          <w:rFonts w:ascii="Times New Roman" w:hAnsi="Times New Roman" w:cs="Times New Roman"/>
          <w:sz w:val="24"/>
          <w:szCs w:val="24"/>
        </w:rPr>
        <w:t>vci</w:t>
      </w:r>
      <w:r w:rsidRPr="00EE4FE4">
        <w:rPr>
          <w:rFonts w:ascii="Times New Roman" w:hAnsi="Times New Roman" w:cs="Times New Roman"/>
          <w:sz w:val="24"/>
          <w:szCs w:val="24"/>
        </w:rPr>
        <w:t xml:space="preserve"> posluje u skladu sa Zakonom o odgoju i obrazovanju u osnovnoj školi, te Statutom škole. Vodi proračunsko računovodstvo temeljem Pravilnika o proračunskom računovodstvu i Računskom planu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FE4">
        <w:rPr>
          <w:rFonts w:ascii="Times New Roman" w:hAnsi="Times New Roman" w:cs="Times New Roman"/>
          <w:sz w:val="24"/>
          <w:szCs w:val="24"/>
        </w:rPr>
        <w:t>(NN 124/14, 115/15,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FE4">
        <w:rPr>
          <w:rFonts w:ascii="Times New Roman" w:hAnsi="Times New Roman" w:cs="Times New Roman"/>
          <w:sz w:val="24"/>
          <w:szCs w:val="24"/>
        </w:rPr>
        <w:t>87/16</w:t>
      </w:r>
      <w:r>
        <w:rPr>
          <w:rFonts w:ascii="Times New Roman" w:hAnsi="Times New Roman" w:cs="Times New Roman"/>
          <w:sz w:val="24"/>
          <w:szCs w:val="24"/>
        </w:rPr>
        <w:t>, 3/18, 126/19, 108/20</w:t>
      </w:r>
      <w:r w:rsidRPr="00EE4FE4">
        <w:rPr>
          <w:rFonts w:ascii="Times New Roman" w:hAnsi="Times New Roman" w:cs="Times New Roman"/>
          <w:sz w:val="24"/>
          <w:szCs w:val="24"/>
        </w:rPr>
        <w:t>) a financijske izvještaje sastavlja i predaje u skladu s odredbama Pravilnika o financijskom izvještavanju u proračunskom računovodstvu NN 03/15,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FE4">
        <w:rPr>
          <w:rFonts w:ascii="Times New Roman" w:hAnsi="Times New Roman" w:cs="Times New Roman"/>
          <w:sz w:val="24"/>
          <w:szCs w:val="24"/>
        </w:rPr>
        <w:t>93/15,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FE4">
        <w:rPr>
          <w:rFonts w:ascii="Times New Roman" w:hAnsi="Times New Roman" w:cs="Times New Roman"/>
          <w:sz w:val="24"/>
          <w:szCs w:val="24"/>
        </w:rPr>
        <w:t>135/15,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FE4">
        <w:rPr>
          <w:rFonts w:ascii="Times New Roman" w:hAnsi="Times New Roman" w:cs="Times New Roman"/>
          <w:sz w:val="24"/>
          <w:szCs w:val="24"/>
        </w:rPr>
        <w:t>2/17,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FE4">
        <w:rPr>
          <w:rFonts w:ascii="Times New Roman" w:hAnsi="Times New Roman" w:cs="Times New Roman"/>
          <w:sz w:val="24"/>
          <w:szCs w:val="24"/>
        </w:rPr>
        <w:t>28/17,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FE4">
        <w:rPr>
          <w:rFonts w:ascii="Times New Roman" w:hAnsi="Times New Roman" w:cs="Times New Roman"/>
          <w:sz w:val="24"/>
          <w:szCs w:val="24"/>
        </w:rPr>
        <w:t>112/18,</w:t>
      </w:r>
      <w:r>
        <w:rPr>
          <w:rFonts w:ascii="Times New Roman" w:hAnsi="Times New Roman" w:cs="Times New Roman"/>
          <w:sz w:val="24"/>
          <w:szCs w:val="24"/>
        </w:rPr>
        <w:t xml:space="preserve"> 126/19, </w:t>
      </w:r>
      <w:r w:rsidRPr="00EE4FE4">
        <w:rPr>
          <w:rFonts w:ascii="Times New Roman" w:hAnsi="Times New Roman" w:cs="Times New Roman"/>
          <w:sz w:val="24"/>
          <w:szCs w:val="24"/>
        </w:rPr>
        <w:t>145/20</w:t>
      </w:r>
      <w:r>
        <w:rPr>
          <w:rFonts w:ascii="Times New Roman" w:hAnsi="Times New Roman" w:cs="Times New Roman"/>
          <w:sz w:val="24"/>
          <w:szCs w:val="24"/>
        </w:rPr>
        <w:t>, 32/21</w:t>
      </w:r>
      <w:r w:rsidRPr="00EE4FE4">
        <w:rPr>
          <w:rFonts w:ascii="Times New Roman" w:hAnsi="Times New Roman" w:cs="Times New Roman"/>
          <w:sz w:val="24"/>
          <w:szCs w:val="24"/>
        </w:rPr>
        <w:t>.</w:t>
      </w:r>
    </w:p>
    <w:p w14:paraId="4D41E45A" w14:textId="77777777" w:rsidR="0031621D" w:rsidRDefault="0031621D" w:rsidP="003162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5D6D43">
        <w:rPr>
          <w:rFonts w:ascii="Times New Roman" w:hAnsi="Times New Roman" w:cs="Times New Roman"/>
          <w:sz w:val="24"/>
          <w:szCs w:val="24"/>
        </w:rPr>
        <w:t>Čakovci</w:t>
      </w:r>
      <w:r w:rsidRPr="006C4C7E">
        <w:rPr>
          <w:rFonts w:ascii="Times New Roman" w:hAnsi="Times New Roman" w:cs="Times New Roman"/>
          <w:sz w:val="24"/>
          <w:szCs w:val="24"/>
        </w:rPr>
        <w:t xml:space="preserve"> je proračunski korisnik, koji se financira iz proračuna Republike Hrvatske i to sredstva za plaće i naknade plaća, te iz Županijskog proračuna za materijalne </w:t>
      </w:r>
      <w:r>
        <w:rPr>
          <w:rFonts w:ascii="Times New Roman" w:hAnsi="Times New Roman" w:cs="Times New Roman"/>
          <w:sz w:val="24"/>
          <w:szCs w:val="24"/>
        </w:rPr>
        <w:t>rashode</w:t>
      </w:r>
      <w:r w:rsidRPr="006C4C7E">
        <w:rPr>
          <w:rFonts w:ascii="Times New Roman" w:hAnsi="Times New Roman" w:cs="Times New Roman"/>
          <w:sz w:val="24"/>
          <w:szCs w:val="24"/>
        </w:rPr>
        <w:t>.</w:t>
      </w:r>
    </w:p>
    <w:p w14:paraId="73E224FD" w14:textId="77777777" w:rsidR="004E7FFC" w:rsidRDefault="004E7FFC">
      <w:pPr>
        <w:rPr>
          <w:rFonts w:ascii="Times New Roman" w:hAnsi="Times New Roman" w:cs="Times New Roman"/>
          <w:b/>
          <w:sz w:val="24"/>
          <w:szCs w:val="24"/>
        </w:rPr>
      </w:pPr>
    </w:p>
    <w:p w14:paraId="45B1E503" w14:textId="77777777" w:rsidR="005D6D43" w:rsidRPr="00E97A6A" w:rsidRDefault="005D6D43" w:rsidP="005D6D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39626D">
        <w:rPr>
          <w:rFonts w:ascii="Times New Roman" w:hAnsi="Times New Roman" w:cs="Times New Roman"/>
          <w:b/>
          <w:i/>
          <w:sz w:val="24"/>
          <w:szCs w:val="24"/>
        </w:rPr>
        <w:t>. Bilješke uz obrazac PR – RAS Izvještaj o prihodima i rashodima, primicima i izdacima</w:t>
      </w:r>
    </w:p>
    <w:p w14:paraId="54AB7B88" w14:textId="77777777" w:rsidR="008565F6" w:rsidRPr="00C72A3D" w:rsidRDefault="008565F6" w:rsidP="008565F6">
      <w:pPr>
        <w:pStyle w:val="Bezproreda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14E456CB" w14:textId="386025D7" w:rsidR="00971D34" w:rsidRPr="00971D34" w:rsidRDefault="00971D34" w:rsidP="00971D34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D34">
        <w:rPr>
          <w:rFonts w:ascii="Times New Roman" w:hAnsi="Times New Roman" w:cs="Times New Roman"/>
          <w:sz w:val="24"/>
          <w:szCs w:val="24"/>
        </w:rPr>
        <w:t xml:space="preserve">Konto 6361 </w:t>
      </w:r>
      <w:r w:rsidRPr="00971D34">
        <w:rPr>
          <w:rFonts w:ascii="Times New Roman" w:hAnsi="Times New Roman" w:cs="Times New Roman"/>
          <w:sz w:val="24"/>
          <w:szCs w:val="24"/>
        </w:rPr>
        <w:t>Tekuće pomoći proračunskim korisnicima iz proračuna koji im nije nadležan</w:t>
      </w:r>
      <w:r w:rsidRPr="00971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bilježi povećanje od 8,5 % u odnosu na prošlu godinu. Razlog je povećanje plaća djelatnika, visoka inflacija i pomoć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Tompojevci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financiranju školske kuhinja. </w:t>
      </w:r>
    </w:p>
    <w:p w14:paraId="40B99B28" w14:textId="1198E740" w:rsidR="004C6195" w:rsidRPr="00971D34" w:rsidRDefault="00971D34" w:rsidP="00971D34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1D34">
        <w:rPr>
          <w:rFonts w:ascii="Times New Roman" w:hAnsi="Times New Roman" w:cs="Times New Roman"/>
          <w:sz w:val="24"/>
          <w:szCs w:val="24"/>
        </w:rPr>
        <w:t xml:space="preserve">Konto 6362 </w:t>
      </w:r>
      <w:r w:rsidRPr="00971D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Kapitalne pomoći proračunskim korisnicima iz proračuna koji im nije nadležan</w:t>
      </w:r>
      <w:r w:rsidRPr="00971D3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sastoji se od prihoda za financiranje nabavke udžbenika i lektira za učenike. Udžbenici se nabavljaju sukladno potrebama stoga je na ovoj poziciji zabilježen pad prihoda od 12,9%</w:t>
      </w:r>
    </w:p>
    <w:tbl>
      <w:tblPr>
        <w:tblpPr w:leftFromText="180" w:rightFromText="180" w:vertAnchor="text" w:horzAnchor="margin" w:tblpY="81"/>
        <w:tblW w:w="5000" w:type="pct"/>
        <w:tblLook w:val="04A0" w:firstRow="1" w:lastRow="0" w:firstColumn="1" w:lastColumn="0" w:noHBand="0" w:noVBand="1"/>
      </w:tblPr>
      <w:tblGrid>
        <w:gridCol w:w="5524"/>
        <w:gridCol w:w="617"/>
        <w:gridCol w:w="1151"/>
        <w:gridCol w:w="1151"/>
        <w:gridCol w:w="617"/>
      </w:tblGrid>
      <w:tr w:rsidR="005347D0" w:rsidRPr="00971D34" w14:paraId="49BE6C3C" w14:textId="77777777" w:rsidTr="005347D0">
        <w:trPr>
          <w:trHeight w:val="255"/>
        </w:trPr>
        <w:tc>
          <w:tcPr>
            <w:tcW w:w="3049" w:type="pct"/>
            <w:tcBorders>
              <w:top w:val="single" w:sz="4" w:space="0" w:color="C0C0C0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0CC3AFB2" w14:textId="77777777" w:rsidR="005347D0" w:rsidRPr="00971D34" w:rsidRDefault="005347D0" w:rsidP="00534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71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Tekuće pomoći proračunskim korisnicima iz proračuna koji im nije nadležan</w:t>
            </w:r>
          </w:p>
        </w:tc>
        <w:tc>
          <w:tcPr>
            <w:tcW w:w="34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4A37FF5A" w14:textId="77777777" w:rsidR="005347D0" w:rsidRPr="00971D34" w:rsidRDefault="005347D0" w:rsidP="005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971D34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6361</w:t>
            </w:r>
          </w:p>
        </w:tc>
        <w:tc>
          <w:tcPr>
            <w:tcW w:w="63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614C08AB" w14:textId="77777777" w:rsidR="005347D0" w:rsidRPr="00971D34" w:rsidRDefault="005347D0" w:rsidP="00534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1D3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3.644.236,00</w:t>
            </w:r>
          </w:p>
        </w:tc>
        <w:tc>
          <w:tcPr>
            <w:tcW w:w="635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3CF57451" w14:textId="77777777" w:rsidR="005347D0" w:rsidRPr="00971D34" w:rsidRDefault="005347D0" w:rsidP="00534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1D3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3.954.048,43</w:t>
            </w:r>
          </w:p>
        </w:tc>
        <w:tc>
          <w:tcPr>
            <w:tcW w:w="341" w:type="pct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2F7C2C5B" w14:textId="77777777" w:rsidR="005347D0" w:rsidRPr="00971D34" w:rsidRDefault="005347D0" w:rsidP="00534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1D3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108,5</w:t>
            </w:r>
          </w:p>
        </w:tc>
      </w:tr>
      <w:tr w:rsidR="005347D0" w:rsidRPr="00971D34" w14:paraId="7872DC9A" w14:textId="77777777" w:rsidTr="005347D0">
        <w:trPr>
          <w:trHeight w:val="480"/>
        </w:trPr>
        <w:tc>
          <w:tcPr>
            <w:tcW w:w="3049" w:type="pct"/>
            <w:tcBorders>
              <w:top w:val="nil"/>
              <w:left w:val="single" w:sz="4" w:space="0" w:color="000080"/>
              <w:bottom w:val="single" w:sz="4" w:space="0" w:color="C0C0C0"/>
              <w:right w:val="single" w:sz="4" w:space="0" w:color="000080"/>
            </w:tcBorders>
            <w:shd w:val="clear" w:color="auto" w:fill="auto"/>
            <w:vAlign w:val="center"/>
            <w:hideMark/>
          </w:tcPr>
          <w:p w14:paraId="294B1716" w14:textId="77777777" w:rsidR="005347D0" w:rsidRPr="00971D34" w:rsidRDefault="005347D0" w:rsidP="005347D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971D34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Kapitalne pomoći proračunskim korisnicima iz proračuna koji im nije nadležan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hideMark/>
          </w:tcPr>
          <w:p w14:paraId="40C15FF0" w14:textId="77777777" w:rsidR="005347D0" w:rsidRPr="00971D34" w:rsidRDefault="005347D0" w:rsidP="005347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971D34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6362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vAlign w:val="center"/>
            <w:hideMark/>
          </w:tcPr>
          <w:p w14:paraId="558A55D3" w14:textId="77777777" w:rsidR="005347D0" w:rsidRPr="00971D34" w:rsidRDefault="005347D0" w:rsidP="005347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1D3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33.211,00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C0C0C0"/>
              <w:right w:val="single" w:sz="4" w:space="0" w:color="000080"/>
            </w:tcBorders>
            <w:shd w:val="clear" w:color="auto" w:fill="auto"/>
            <w:noWrap/>
            <w:hideMark/>
          </w:tcPr>
          <w:p w14:paraId="370B5F1D" w14:textId="77777777" w:rsidR="005347D0" w:rsidRPr="00971D34" w:rsidRDefault="005347D0" w:rsidP="00534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1D3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28.941,31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C0C0C0"/>
              <w:right w:val="single" w:sz="4" w:space="0" w:color="000000"/>
            </w:tcBorders>
            <w:shd w:val="clear" w:color="auto" w:fill="auto"/>
            <w:noWrap/>
            <w:hideMark/>
          </w:tcPr>
          <w:p w14:paraId="4A4C9EBF" w14:textId="77777777" w:rsidR="005347D0" w:rsidRPr="00971D34" w:rsidRDefault="005347D0" w:rsidP="005347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971D34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87,1</w:t>
            </w:r>
          </w:p>
        </w:tc>
      </w:tr>
    </w:tbl>
    <w:p w14:paraId="13CCDEC7" w14:textId="6C684E8D" w:rsidR="00971D34" w:rsidRDefault="005347D0" w:rsidP="00971D34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7D0">
        <w:rPr>
          <w:rFonts w:ascii="Times New Roman" w:hAnsi="Times New Roman" w:cs="Times New Roman"/>
          <w:sz w:val="24"/>
          <w:szCs w:val="24"/>
        </w:rPr>
        <w:lastRenderedPageBreak/>
        <w:t>6381</w:t>
      </w:r>
      <w:r w:rsidRPr="005347D0">
        <w:rPr>
          <w:rFonts w:ascii="Times New Roman" w:hAnsi="Times New Roman" w:cs="Times New Roman"/>
          <w:sz w:val="24"/>
          <w:szCs w:val="24"/>
        </w:rPr>
        <w:tab/>
        <w:t>Tekuće pomoći temeljem prijenosa  EU sredstava</w:t>
      </w:r>
      <w:r w:rsidRPr="005347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Prihodi su temeljem sudjelovanja škole na Erasmus projektu kojih 2021. godine nije bilo </w:t>
      </w:r>
      <w:r w:rsidRPr="005347D0">
        <w:rPr>
          <w:rFonts w:ascii="Times New Roman" w:hAnsi="Times New Roman" w:cs="Times New Roman"/>
          <w:sz w:val="24"/>
          <w:szCs w:val="24"/>
        </w:rPr>
        <w:tab/>
      </w:r>
    </w:p>
    <w:p w14:paraId="789A5F98" w14:textId="29498B52" w:rsidR="005347D0" w:rsidRDefault="005347D0" w:rsidP="00971D34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Konto 6526 Ostali nespomenuti prihodi smanjeni su u odnosu na 2021. godinu. Na kontu se bilježe sredstva za sufinanciranje školske kuhinje. S obzirom da je Općina </w:t>
      </w:r>
      <w:proofErr w:type="spellStart"/>
      <w:r>
        <w:rPr>
          <w:rFonts w:ascii="Times New Roman" w:hAnsi="Times New Roman" w:cs="Times New Roman"/>
          <w:sz w:val="24"/>
          <w:szCs w:val="24"/>
        </w:rPr>
        <w:t>Tompojevici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odlučila sufinancirati kuhinju u školskoj 2022/2023 godini ti su prihodi smanjeni.</w:t>
      </w:r>
    </w:p>
    <w:p w14:paraId="05729FA3" w14:textId="55E85BDC" w:rsidR="005347D0" w:rsidRDefault="005347D0" w:rsidP="00971D34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Konto 6614 nema stanje u 2022 godini jer školska zadruga nije prodavala svoje proizvode.</w:t>
      </w:r>
    </w:p>
    <w:p w14:paraId="4E18F717" w14:textId="7B40C91D" w:rsidR="005347D0" w:rsidRDefault="005347D0" w:rsidP="00971D34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Konto 6615 bilježi postotno povećanje prihoda od 25,6% razlog su iznajmljivanje školske dvorane i područne škole Bokšić</w:t>
      </w:r>
    </w:p>
    <w:p w14:paraId="7F705977" w14:textId="63802903" w:rsidR="005347D0" w:rsidRDefault="005347D0" w:rsidP="00971D34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kontu 6711 rast je prihoda od 11,3 % zbog povećanih troškova funkcioniranja i inflacije, na kontu su proknjiženi prihodi od VSŽ namijenjeni nesmetanom funkcioniranju škole. </w:t>
      </w:r>
    </w:p>
    <w:p w14:paraId="46B252BF" w14:textId="77777777" w:rsidR="00BE1A93" w:rsidRDefault="00BE1A93" w:rsidP="00BE1A93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horzAnchor="margin" w:tblpY="-9"/>
        <w:tblW w:w="0" w:type="auto"/>
        <w:tblLook w:val="04A0" w:firstRow="1" w:lastRow="0" w:firstColumn="1" w:lastColumn="0" w:noHBand="0" w:noVBand="1"/>
      </w:tblPr>
      <w:tblGrid>
        <w:gridCol w:w="3052"/>
        <w:gridCol w:w="1416"/>
        <w:gridCol w:w="1896"/>
        <w:gridCol w:w="1776"/>
        <w:gridCol w:w="920"/>
      </w:tblGrid>
      <w:tr w:rsidR="00BE1A93" w:rsidRPr="005347D0" w14:paraId="2805E32A" w14:textId="77777777" w:rsidTr="00BE1A93">
        <w:trPr>
          <w:trHeight w:val="255"/>
        </w:trPr>
        <w:tc>
          <w:tcPr>
            <w:tcW w:w="3052" w:type="dxa"/>
            <w:hideMark/>
          </w:tcPr>
          <w:p w14:paraId="181FF8EA" w14:textId="77777777" w:rsidR="00BE1A93" w:rsidRPr="005347D0" w:rsidRDefault="00BE1A93" w:rsidP="00BE1A93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D0">
              <w:rPr>
                <w:rFonts w:ascii="Times New Roman" w:hAnsi="Times New Roman" w:cs="Times New Roman"/>
                <w:sz w:val="24"/>
                <w:szCs w:val="24"/>
              </w:rPr>
              <w:t>Ostali nespomenuti prihodi</w:t>
            </w:r>
          </w:p>
        </w:tc>
        <w:tc>
          <w:tcPr>
            <w:tcW w:w="1416" w:type="dxa"/>
            <w:hideMark/>
          </w:tcPr>
          <w:p w14:paraId="1D9CE614" w14:textId="77777777" w:rsidR="00BE1A93" w:rsidRPr="005347D0" w:rsidRDefault="00BE1A93" w:rsidP="00BE1A93">
            <w:pPr>
              <w:pStyle w:val="Odlomakpopisa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7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6526</w:t>
            </w:r>
          </w:p>
        </w:tc>
        <w:tc>
          <w:tcPr>
            <w:tcW w:w="1896" w:type="dxa"/>
            <w:noWrap/>
            <w:hideMark/>
          </w:tcPr>
          <w:p w14:paraId="2733422B" w14:textId="77777777" w:rsidR="00BE1A93" w:rsidRPr="005347D0" w:rsidRDefault="00BE1A93" w:rsidP="00BE1A93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D0">
              <w:rPr>
                <w:rFonts w:ascii="Times New Roman" w:hAnsi="Times New Roman" w:cs="Times New Roman"/>
                <w:sz w:val="24"/>
                <w:szCs w:val="24"/>
              </w:rPr>
              <w:t>11.995,00</w:t>
            </w:r>
          </w:p>
        </w:tc>
        <w:tc>
          <w:tcPr>
            <w:tcW w:w="1776" w:type="dxa"/>
            <w:noWrap/>
            <w:hideMark/>
          </w:tcPr>
          <w:p w14:paraId="747E283C" w14:textId="77777777" w:rsidR="00BE1A93" w:rsidRPr="005347D0" w:rsidRDefault="00BE1A93" w:rsidP="00BE1A93">
            <w:pPr>
              <w:pStyle w:val="Odlomakpopis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D0">
              <w:rPr>
                <w:rFonts w:ascii="Times New Roman" w:hAnsi="Times New Roman" w:cs="Times New Roman"/>
                <w:sz w:val="24"/>
                <w:szCs w:val="24"/>
              </w:rPr>
              <w:t>8.745,00</w:t>
            </w:r>
          </w:p>
        </w:tc>
        <w:tc>
          <w:tcPr>
            <w:tcW w:w="920" w:type="dxa"/>
            <w:noWrap/>
            <w:hideMark/>
          </w:tcPr>
          <w:p w14:paraId="26DA83FA" w14:textId="77777777" w:rsidR="00BE1A93" w:rsidRPr="005347D0" w:rsidRDefault="00BE1A93" w:rsidP="00BE1A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7D0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</w:tr>
      <w:tr w:rsidR="00BE1A93" w:rsidRPr="005347D0" w14:paraId="0E8FEE7C" w14:textId="77777777" w:rsidTr="00BE1A93">
        <w:trPr>
          <w:trHeight w:val="255"/>
        </w:trPr>
        <w:tc>
          <w:tcPr>
            <w:tcW w:w="3052" w:type="dxa"/>
            <w:hideMark/>
          </w:tcPr>
          <w:p w14:paraId="04E897D4" w14:textId="77777777" w:rsidR="00BE1A93" w:rsidRPr="005347D0" w:rsidRDefault="00BE1A93" w:rsidP="00BE1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47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prodaje proizvoda i robe</w:t>
            </w:r>
          </w:p>
        </w:tc>
        <w:tc>
          <w:tcPr>
            <w:tcW w:w="1416" w:type="dxa"/>
            <w:hideMark/>
          </w:tcPr>
          <w:p w14:paraId="6A156420" w14:textId="77777777" w:rsidR="00BE1A93" w:rsidRPr="005347D0" w:rsidRDefault="00BE1A93" w:rsidP="00BE1A93">
            <w:pPr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5347D0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6614</w:t>
            </w:r>
          </w:p>
        </w:tc>
        <w:tc>
          <w:tcPr>
            <w:tcW w:w="1896" w:type="dxa"/>
            <w:noWrap/>
            <w:hideMark/>
          </w:tcPr>
          <w:p w14:paraId="51AEFDBC" w14:textId="77777777" w:rsidR="00BE1A93" w:rsidRPr="005347D0" w:rsidRDefault="00BE1A93" w:rsidP="00BE1A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246,00</w:t>
            </w:r>
          </w:p>
        </w:tc>
        <w:tc>
          <w:tcPr>
            <w:tcW w:w="1776" w:type="dxa"/>
            <w:noWrap/>
            <w:hideMark/>
          </w:tcPr>
          <w:p w14:paraId="4148F488" w14:textId="77777777" w:rsidR="00BE1A93" w:rsidRPr="005347D0" w:rsidRDefault="00BE1A93" w:rsidP="00BE1A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0" w:type="dxa"/>
            <w:noWrap/>
            <w:hideMark/>
          </w:tcPr>
          <w:p w14:paraId="26D9DA14" w14:textId="77777777" w:rsidR="00BE1A93" w:rsidRPr="005347D0" w:rsidRDefault="00BE1A93" w:rsidP="00BE1A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0,0</w:t>
            </w:r>
          </w:p>
        </w:tc>
      </w:tr>
      <w:tr w:rsidR="00BE1A93" w:rsidRPr="005347D0" w14:paraId="40FA52E1" w14:textId="77777777" w:rsidTr="00BE1A93">
        <w:trPr>
          <w:trHeight w:val="255"/>
        </w:trPr>
        <w:tc>
          <w:tcPr>
            <w:tcW w:w="3052" w:type="dxa"/>
            <w:hideMark/>
          </w:tcPr>
          <w:p w14:paraId="42BCCDE2" w14:textId="77777777" w:rsidR="00BE1A93" w:rsidRPr="005347D0" w:rsidRDefault="00BE1A93" w:rsidP="00BE1A93">
            <w:pPr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5347D0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Prihodi od pruženih usluga</w:t>
            </w:r>
          </w:p>
        </w:tc>
        <w:tc>
          <w:tcPr>
            <w:tcW w:w="1416" w:type="dxa"/>
            <w:hideMark/>
          </w:tcPr>
          <w:p w14:paraId="603331D7" w14:textId="77777777" w:rsidR="00BE1A93" w:rsidRPr="005347D0" w:rsidRDefault="00BE1A93" w:rsidP="00BE1A93">
            <w:pPr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5347D0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6615</w:t>
            </w:r>
          </w:p>
        </w:tc>
        <w:tc>
          <w:tcPr>
            <w:tcW w:w="1896" w:type="dxa"/>
            <w:noWrap/>
            <w:hideMark/>
          </w:tcPr>
          <w:p w14:paraId="270BDDAC" w14:textId="77777777" w:rsidR="00BE1A93" w:rsidRPr="005347D0" w:rsidRDefault="00BE1A93" w:rsidP="00BE1A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11.065,00</w:t>
            </w:r>
          </w:p>
        </w:tc>
        <w:tc>
          <w:tcPr>
            <w:tcW w:w="1776" w:type="dxa"/>
            <w:noWrap/>
            <w:hideMark/>
          </w:tcPr>
          <w:p w14:paraId="0D43DDCA" w14:textId="77777777" w:rsidR="00BE1A93" w:rsidRPr="005347D0" w:rsidRDefault="00BE1A93" w:rsidP="00BE1A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13.893,52</w:t>
            </w:r>
          </w:p>
        </w:tc>
        <w:tc>
          <w:tcPr>
            <w:tcW w:w="920" w:type="dxa"/>
            <w:noWrap/>
            <w:hideMark/>
          </w:tcPr>
          <w:p w14:paraId="7FA03ABD" w14:textId="77777777" w:rsidR="00BE1A93" w:rsidRPr="005347D0" w:rsidRDefault="00BE1A93" w:rsidP="00BE1A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125,6</w:t>
            </w:r>
          </w:p>
        </w:tc>
      </w:tr>
      <w:tr w:rsidR="00BE1A93" w:rsidRPr="005347D0" w14:paraId="5DFD8FBD" w14:textId="77777777" w:rsidTr="00BE1A93">
        <w:trPr>
          <w:trHeight w:val="255"/>
        </w:trPr>
        <w:tc>
          <w:tcPr>
            <w:tcW w:w="3052" w:type="dxa"/>
            <w:hideMark/>
          </w:tcPr>
          <w:p w14:paraId="5E4A6312" w14:textId="77777777" w:rsidR="00BE1A93" w:rsidRPr="005347D0" w:rsidRDefault="00BE1A93" w:rsidP="00BE1A9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5347D0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Prihodi iz  nadležnog proračuna za financiranje rashoda poslovanja</w:t>
            </w:r>
          </w:p>
        </w:tc>
        <w:tc>
          <w:tcPr>
            <w:tcW w:w="1416" w:type="dxa"/>
            <w:hideMark/>
          </w:tcPr>
          <w:p w14:paraId="66C78181" w14:textId="77777777" w:rsidR="00BE1A93" w:rsidRPr="005347D0" w:rsidRDefault="00BE1A93" w:rsidP="00BE1A93">
            <w:pPr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</w:pPr>
            <w:r w:rsidRPr="005347D0">
              <w:rPr>
                <w:rFonts w:ascii="Arial" w:eastAsia="Times New Roman" w:hAnsi="Arial" w:cs="Arial"/>
                <w:b/>
                <w:bCs/>
                <w:color w:val="0C0C0C"/>
                <w:sz w:val="18"/>
                <w:szCs w:val="18"/>
                <w:lang w:eastAsia="hr-HR"/>
              </w:rPr>
              <w:t>6711</w:t>
            </w:r>
          </w:p>
        </w:tc>
        <w:tc>
          <w:tcPr>
            <w:tcW w:w="1896" w:type="dxa"/>
            <w:noWrap/>
            <w:hideMark/>
          </w:tcPr>
          <w:p w14:paraId="0EC01526" w14:textId="77777777" w:rsidR="00BE1A93" w:rsidRPr="005347D0" w:rsidRDefault="00BE1A93" w:rsidP="00BE1A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634.229,00</w:t>
            </w:r>
          </w:p>
        </w:tc>
        <w:tc>
          <w:tcPr>
            <w:tcW w:w="1776" w:type="dxa"/>
            <w:noWrap/>
            <w:hideMark/>
          </w:tcPr>
          <w:p w14:paraId="79F7F9C4" w14:textId="77777777" w:rsidR="00BE1A93" w:rsidRPr="005347D0" w:rsidRDefault="00BE1A93" w:rsidP="00BE1A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705.941,08</w:t>
            </w:r>
          </w:p>
        </w:tc>
        <w:tc>
          <w:tcPr>
            <w:tcW w:w="920" w:type="dxa"/>
            <w:noWrap/>
            <w:hideMark/>
          </w:tcPr>
          <w:p w14:paraId="3935BF6D" w14:textId="77777777" w:rsidR="00BE1A93" w:rsidRPr="005347D0" w:rsidRDefault="00BE1A93" w:rsidP="00BE1A93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5347D0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111,3</w:t>
            </w:r>
          </w:p>
        </w:tc>
      </w:tr>
    </w:tbl>
    <w:p w14:paraId="2E035DE5" w14:textId="667EDFEB" w:rsidR="00BE1A93" w:rsidRDefault="00BE1A93" w:rsidP="00BE1A9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6134A8" w14:textId="4AF58E78" w:rsidR="00BE1A93" w:rsidRDefault="00BE1A93" w:rsidP="00BE1A93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su u direktnoj korelaciji sa prihodima pa je tako na grupi  31 Rashodi za zaposlene porast od 6,7%. Rast rashoda rezultat je povećanja plaća i prava radnika zbog potpisivanja novog kolektivnog ugovora.</w:t>
      </w:r>
    </w:p>
    <w:p w14:paraId="4294D894" w14:textId="2D967ED1" w:rsidR="00BE1A93" w:rsidRDefault="00BE1A93" w:rsidP="00BE1A93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skupine 32 također su u porastu i to od 55,6%. Povećani su rashodi na kontu 3211 – Službena putovanja i 3213 zbog sudjelovanja u Erasmus projektu, na kontu 3212 naknade za prijevoz do rasta je došlo zbog povećanja naknade po prijeđenom kilometru. </w:t>
      </w:r>
    </w:p>
    <w:p w14:paraId="018BECF9" w14:textId="093F96BC" w:rsidR="00BE1A93" w:rsidRDefault="00377597" w:rsidP="00BE1A93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na kontu 3222 povećani su zbog nabavke više namirnica za školsku kuhinju koja je u drugoj polovici 2022 financirana kroz projekt užina za sve ali i sredstvima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Tompojevici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7865AB3" w14:textId="0F2DE1C3" w:rsidR="00377597" w:rsidRDefault="00377597" w:rsidP="00BE1A93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na kontu 3223 Energija jedni su od rijetkih koji su u 2022 godini zabilježili pad, uglavnom zbog blage zime i manjih troškova grijanja.</w:t>
      </w:r>
    </w:p>
    <w:p w14:paraId="6E3AA411" w14:textId="6AE6A1DE" w:rsidR="00377597" w:rsidRDefault="00377597" w:rsidP="00BE1A93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skupine 323 u  porastu su zbog povećanja troškova transporta učenika, nepredviđenih kvarova, objave natječaja za ravnatelja te većih troškova pražnjenja gnojnice. </w:t>
      </w:r>
    </w:p>
    <w:p w14:paraId="2CDCAA8D" w14:textId="4102D86F" w:rsidR="00377597" w:rsidRDefault="00377597" w:rsidP="00BE1A93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na kontu 3433 zatezne kamate rezultat su sudskih sporova koje zaposlenici vode zbog ne povećanja osnovice u 2016 godini.</w:t>
      </w:r>
    </w:p>
    <w:p w14:paraId="2535FF68" w14:textId="7B0CFB6C" w:rsidR="00377597" w:rsidRDefault="00377597" w:rsidP="00BE1A93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Naknade građanima i kućanstvima u naravi su rashodi nabavke radnih bilježnica za učenike financiranih od općine.</w:t>
      </w:r>
    </w:p>
    <w:p w14:paraId="25E994FA" w14:textId="6DD8A9CE" w:rsidR="00377597" w:rsidRDefault="00377597" w:rsidP="00377597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2022. godini smanjeni su rashodi ulaganja u dugotrajnu imovni pa su tako od dugotrajne imovine nabavljena 2 računala i udžbenici za učenike. </w:t>
      </w:r>
    </w:p>
    <w:p w14:paraId="2BF72552" w14:textId="0732446C" w:rsidR="00377597" w:rsidRDefault="00377597" w:rsidP="00377597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8453 primljeni zajmova u 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godni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nema </w:t>
      </w:r>
    </w:p>
    <w:p w14:paraId="2E778E9F" w14:textId="688F9E51" w:rsidR="00377597" w:rsidRPr="00377597" w:rsidRDefault="00377597" w:rsidP="00377597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Rashodi skupine 19 odnose se na plaće zaposlenih za prosinac 2022. godine.</w:t>
      </w:r>
    </w:p>
    <w:p w14:paraId="555C08A1" w14:textId="3359B36C" w:rsidR="005347D0" w:rsidRDefault="005347D0" w:rsidP="005347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45019E" w14:textId="77777777" w:rsidR="00BE1A93" w:rsidRPr="005347D0" w:rsidRDefault="00BE1A93" w:rsidP="005347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320710" w14:textId="77777777" w:rsidR="006E3E5D" w:rsidRDefault="006E3E5D" w:rsidP="004C619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2B822A98" w14:textId="29257CD0" w:rsidR="004C6195" w:rsidRPr="006C4C7E" w:rsidRDefault="004C6195" w:rsidP="004C619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2</w:t>
      </w:r>
      <w:r w:rsidRPr="006C4C7E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C4C7E">
        <w:rPr>
          <w:rFonts w:ascii="Times New Roman" w:hAnsi="Times New Roman" w:cs="Times New Roman"/>
          <w:b/>
          <w:i/>
          <w:sz w:val="24"/>
          <w:szCs w:val="24"/>
        </w:rPr>
        <w:t>Bilješke uz bilancu – OBRAZAC BILANCA</w:t>
      </w:r>
    </w:p>
    <w:p w14:paraId="1A97FE77" w14:textId="73B0EED4" w:rsidR="005D6D43" w:rsidRPr="006E3E5D" w:rsidRDefault="006E3E5D" w:rsidP="006E3E5D">
      <w:pPr>
        <w:pStyle w:val="Odlomakpopisa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E3E5D">
        <w:rPr>
          <w:rFonts w:ascii="Times New Roman" w:hAnsi="Times New Roman" w:cs="Times New Roman"/>
          <w:bCs/>
          <w:sz w:val="24"/>
          <w:szCs w:val="24"/>
        </w:rPr>
        <w:t xml:space="preserve">Podaci na obrascu bilanca u pravilu su ujednačeni. Možemo izdvojiti konto 0241 na koji knjižimo nabavku udžbenika i konto 02924 na kojem jednokratno otpisujemo udžbenike. </w:t>
      </w:r>
    </w:p>
    <w:p w14:paraId="65C73931" w14:textId="65D4AB8B" w:rsidR="006E3E5D" w:rsidRPr="006E3E5D" w:rsidRDefault="006E3E5D" w:rsidP="006E3E5D">
      <w:pPr>
        <w:pStyle w:val="Odlomakpopisa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E3E5D">
        <w:rPr>
          <w:rFonts w:ascii="Times New Roman" w:hAnsi="Times New Roman" w:cs="Times New Roman"/>
          <w:bCs/>
          <w:sz w:val="24"/>
          <w:szCs w:val="24"/>
        </w:rPr>
        <w:t xml:space="preserve">Fluktuacije na kontu 1112 novac u banci su normalna kretanja priljeva i odljeva iako je odstupanje u odnosu na 2021 godinu izraženo. </w:t>
      </w:r>
    </w:p>
    <w:p w14:paraId="2AC5EEFB" w14:textId="44C92001" w:rsidR="006E3E5D" w:rsidRPr="006E3E5D" w:rsidRDefault="006E3E5D" w:rsidP="006E3E5D">
      <w:pPr>
        <w:pStyle w:val="Odlomakpopisa"/>
        <w:numPr>
          <w:ilvl w:val="0"/>
          <w:numId w:val="14"/>
        </w:num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6E3E5D">
        <w:rPr>
          <w:rFonts w:ascii="Times New Roman" w:hAnsi="Times New Roman" w:cs="Times New Roman"/>
          <w:bCs/>
          <w:sz w:val="24"/>
          <w:szCs w:val="24"/>
        </w:rPr>
        <w:t xml:space="preserve">Na kontima skupine 12 došlo je do porasta zbog kupnje mobitela na rate i </w:t>
      </w:r>
      <w:proofErr w:type="spellStart"/>
      <w:r w:rsidRPr="006E3E5D">
        <w:rPr>
          <w:rFonts w:ascii="Times New Roman" w:hAnsi="Times New Roman" w:cs="Times New Roman"/>
          <w:bCs/>
          <w:sz w:val="24"/>
          <w:szCs w:val="24"/>
        </w:rPr>
        <w:t>rasat</w:t>
      </w:r>
      <w:proofErr w:type="spellEnd"/>
      <w:r w:rsidRPr="006E3E5D">
        <w:rPr>
          <w:rFonts w:ascii="Times New Roman" w:hAnsi="Times New Roman" w:cs="Times New Roman"/>
          <w:bCs/>
          <w:sz w:val="24"/>
          <w:szCs w:val="24"/>
        </w:rPr>
        <w:t xml:space="preserve"> potraživanja od HZZO</w:t>
      </w:r>
    </w:p>
    <w:p w14:paraId="5409D9B8" w14:textId="77777777" w:rsidR="004E7FFC" w:rsidRPr="00CC1891" w:rsidRDefault="00CC1891" w:rsidP="00CC1891">
      <w:pPr>
        <w:pStyle w:val="Odlomakpopisa"/>
        <w:numPr>
          <w:ilvl w:val="0"/>
          <w:numId w:val="10"/>
        </w:numPr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6D8C">
        <w:rPr>
          <w:rFonts w:ascii="Times New Roman" w:hAnsi="Times New Roman" w:cs="Times New Roman"/>
          <w:b/>
          <w:i/>
          <w:sz w:val="24"/>
          <w:szCs w:val="24"/>
        </w:rPr>
        <w:t>Bilješke uz obrazac RAS funkcijski</w:t>
      </w:r>
    </w:p>
    <w:p w14:paraId="7F0B4C63" w14:textId="02A176BE" w:rsidR="006B166E" w:rsidRPr="006C4C7E" w:rsidRDefault="006B166E" w:rsidP="006E3E5D">
      <w:pPr>
        <w:jc w:val="both"/>
        <w:rPr>
          <w:rFonts w:ascii="Times New Roman" w:hAnsi="Times New Roman" w:cs="Times New Roman"/>
          <w:sz w:val="24"/>
          <w:szCs w:val="24"/>
        </w:rPr>
      </w:pPr>
      <w:r w:rsidRPr="006C4C7E">
        <w:rPr>
          <w:rFonts w:ascii="Times New Roman" w:hAnsi="Times New Roman" w:cs="Times New Roman"/>
          <w:sz w:val="24"/>
          <w:szCs w:val="24"/>
        </w:rPr>
        <w:t xml:space="preserve">  Osnovna škola </w:t>
      </w:r>
      <w:r>
        <w:rPr>
          <w:rFonts w:ascii="Times New Roman" w:hAnsi="Times New Roman" w:cs="Times New Roman"/>
          <w:sz w:val="24"/>
          <w:szCs w:val="24"/>
        </w:rPr>
        <w:t>Čakovci</w:t>
      </w:r>
      <w:r w:rsidRPr="006C4C7E">
        <w:rPr>
          <w:rFonts w:ascii="Times New Roman" w:hAnsi="Times New Roman" w:cs="Times New Roman"/>
          <w:sz w:val="24"/>
          <w:szCs w:val="24"/>
        </w:rPr>
        <w:t xml:space="preserve"> ob</w:t>
      </w:r>
      <w:r>
        <w:rPr>
          <w:rFonts w:ascii="Times New Roman" w:hAnsi="Times New Roman" w:cs="Times New Roman"/>
          <w:sz w:val="24"/>
          <w:szCs w:val="24"/>
        </w:rPr>
        <w:t>av</w:t>
      </w:r>
      <w:r w:rsidRPr="006C4C7E">
        <w:rPr>
          <w:rFonts w:ascii="Times New Roman" w:hAnsi="Times New Roman" w:cs="Times New Roman"/>
          <w:sz w:val="24"/>
          <w:szCs w:val="24"/>
        </w:rPr>
        <w:t>lja djelatnost osnovnog obrazovanja te su ukupni rashod</w:t>
      </w:r>
      <w:r>
        <w:rPr>
          <w:rFonts w:ascii="Times New Roman" w:hAnsi="Times New Roman" w:cs="Times New Roman"/>
          <w:sz w:val="24"/>
          <w:szCs w:val="24"/>
        </w:rPr>
        <w:t xml:space="preserve">i poslovanja </w:t>
      </w:r>
      <w:r w:rsidR="006E3E5D">
        <w:rPr>
          <w:rFonts w:ascii="Times New Roman" w:hAnsi="Times New Roman" w:cs="Times New Roman"/>
          <w:sz w:val="24"/>
          <w:szCs w:val="24"/>
        </w:rPr>
        <w:t>povećani za 8,6% zbog cjelokupne situacije, povećanja plaća i troškova uslijed inflacije i rata u Ukrajini.</w:t>
      </w:r>
    </w:p>
    <w:p w14:paraId="626FDC09" w14:textId="77777777" w:rsidR="006B166E" w:rsidRDefault="006B166E" w:rsidP="006B16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593CED" w14:textId="77777777" w:rsidR="006B166E" w:rsidRPr="00766D8C" w:rsidRDefault="006B166E" w:rsidP="006B166E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6D8C">
        <w:rPr>
          <w:rFonts w:ascii="Times New Roman" w:hAnsi="Times New Roman" w:cs="Times New Roman"/>
          <w:b/>
          <w:i/>
          <w:sz w:val="24"/>
          <w:szCs w:val="24"/>
        </w:rPr>
        <w:t>Bilješke uz obrazac P-VRIO</w:t>
      </w:r>
    </w:p>
    <w:p w14:paraId="12835360" w14:textId="1D18A7F3" w:rsidR="006B166E" w:rsidRDefault="006B166E" w:rsidP="006B1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E3E5D">
        <w:rPr>
          <w:rFonts w:ascii="Times New Roman" w:hAnsi="Times New Roman" w:cs="Times New Roman"/>
          <w:sz w:val="24"/>
          <w:szCs w:val="24"/>
        </w:rPr>
        <w:t>U 2022. godini nije bilo promjena na obrascu P-VRIO</w:t>
      </w:r>
    </w:p>
    <w:p w14:paraId="53224657" w14:textId="77777777" w:rsidR="00776E3D" w:rsidRDefault="00776E3D" w:rsidP="00FC7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</w:p>
    <w:p w14:paraId="64F167D9" w14:textId="77777777" w:rsidR="006B166E" w:rsidRPr="009813B4" w:rsidRDefault="006B166E" w:rsidP="009813B4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13B4">
        <w:rPr>
          <w:rFonts w:ascii="Times New Roman" w:hAnsi="Times New Roman" w:cs="Times New Roman"/>
          <w:b/>
          <w:i/>
          <w:sz w:val="24"/>
          <w:szCs w:val="24"/>
        </w:rPr>
        <w:t>Bilješke uz obrazac OBVEZA</w:t>
      </w:r>
    </w:p>
    <w:p w14:paraId="1CB902B2" w14:textId="77777777" w:rsidR="009813B4" w:rsidRPr="009813B4" w:rsidRDefault="009813B4" w:rsidP="009813B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0A92D1A" w14:textId="281B9EC4" w:rsidR="00B1322D" w:rsidRPr="00C72A3D" w:rsidRDefault="006B166E" w:rsidP="00B1322D">
      <w:pPr>
        <w:jc w:val="both"/>
        <w:rPr>
          <w:rFonts w:ascii="Times New Roman" w:hAnsi="Times New Roman" w:cs="Times New Roman"/>
          <w:sz w:val="24"/>
          <w:szCs w:val="24"/>
        </w:rPr>
      </w:pPr>
      <w:r w:rsidRPr="00C72A3D">
        <w:rPr>
          <w:rFonts w:ascii="Times New Roman" w:hAnsi="Times New Roman" w:cs="Times New Roman"/>
          <w:sz w:val="24"/>
          <w:szCs w:val="24"/>
        </w:rPr>
        <w:t xml:space="preserve">Stanje obveza </w:t>
      </w:r>
      <w:r>
        <w:rPr>
          <w:rFonts w:ascii="Times New Roman" w:hAnsi="Times New Roman" w:cs="Times New Roman"/>
          <w:sz w:val="24"/>
          <w:szCs w:val="24"/>
        </w:rPr>
        <w:t>01.01.2021</w:t>
      </w:r>
      <w:r w:rsidRPr="00C72A3D">
        <w:rPr>
          <w:rFonts w:ascii="Times New Roman" w:hAnsi="Times New Roman" w:cs="Times New Roman"/>
          <w:sz w:val="24"/>
          <w:szCs w:val="24"/>
        </w:rPr>
        <w:t xml:space="preserve">. godine odnosi se na neplaćene </w:t>
      </w:r>
      <w:r>
        <w:rPr>
          <w:rFonts w:ascii="Times New Roman" w:hAnsi="Times New Roman" w:cs="Times New Roman"/>
          <w:sz w:val="24"/>
          <w:szCs w:val="24"/>
        </w:rPr>
        <w:t>račune te plaću za prosinac 202</w:t>
      </w:r>
      <w:r w:rsidR="006E3E5D">
        <w:rPr>
          <w:rFonts w:ascii="Times New Roman" w:hAnsi="Times New Roman" w:cs="Times New Roman"/>
          <w:sz w:val="24"/>
          <w:szCs w:val="24"/>
        </w:rPr>
        <w:t>1</w:t>
      </w:r>
      <w:r w:rsidRPr="00C72A3D">
        <w:rPr>
          <w:rFonts w:ascii="Times New Roman" w:hAnsi="Times New Roman" w:cs="Times New Roman"/>
          <w:sz w:val="24"/>
          <w:szCs w:val="24"/>
        </w:rPr>
        <w:t xml:space="preserve">. godine, </w:t>
      </w:r>
      <w:r>
        <w:rPr>
          <w:rFonts w:ascii="Times New Roman" w:hAnsi="Times New Roman" w:cs="Times New Roman"/>
          <w:sz w:val="24"/>
          <w:szCs w:val="24"/>
        </w:rPr>
        <w:t>a koji su podmireni početkom 202</w:t>
      </w:r>
      <w:r w:rsidR="006E3E5D">
        <w:rPr>
          <w:rFonts w:ascii="Times New Roman" w:hAnsi="Times New Roman" w:cs="Times New Roman"/>
          <w:sz w:val="24"/>
          <w:szCs w:val="24"/>
        </w:rPr>
        <w:t>2</w:t>
      </w:r>
      <w:r w:rsidRPr="00C72A3D">
        <w:rPr>
          <w:rFonts w:ascii="Times New Roman" w:hAnsi="Times New Roman" w:cs="Times New Roman"/>
          <w:sz w:val="24"/>
          <w:szCs w:val="24"/>
        </w:rPr>
        <w:t>. godine. Ukupne obveze na kraj</w:t>
      </w:r>
      <w:r>
        <w:rPr>
          <w:rFonts w:ascii="Times New Roman" w:hAnsi="Times New Roman" w:cs="Times New Roman"/>
          <w:sz w:val="24"/>
          <w:szCs w:val="24"/>
        </w:rPr>
        <w:t>u izvještajnog razdoblja iznose 3</w:t>
      </w:r>
      <w:r w:rsidR="00AD6101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>.</w:t>
      </w:r>
      <w:r w:rsidR="00AD6101">
        <w:rPr>
          <w:rFonts w:ascii="Times New Roman" w:hAnsi="Times New Roman" w:cs="Times New Roman"/>
          <w:sz w:val="24"/>
          <w:szCs w:val="24"/>
        </w:rPr>
        <w:t>980,44</w:t>
      </w:r>
      <w:r w:rsidRPr="00C72A3D">
        <w:rPr>
          <w:rFonts w:ascii="Times New Roman" w:hAnsi="Times New Roman" w:cs="Times New Roman"/>
          <w:sz w:val="24"/>
          <w:szCs w:val="24"/>
        </w:rPr>
        <w:t xml:space="preserve"> kn, a odnose se na plaće zaposlenika te neplaćene</w:t>
      </w:r>
      <w:r>
        <w:rPr>
          <w:rFonts w:ascii="Times New Roman" w:hAnsi="Times New Roman" w:cs="Times New Roman"/>
          <w:sz w:val="24"/>
          <w:szCs w:val="24"/>
        </w:rPr>
        <w:t xml:space="preserve"> račune čije dospijeće je u 2022</w:t>
      </w:r>
      <w:r w:rsidRPr="00C72A3D">
        <w:rPr>
          <w:rFonts w:ascii="Times New Roman" w:hAnsi="Times New Roman" w:cs="Times New Roman"/>
          <w:sz w:val="24"/>
          <w:szCs w:val="24"/>
        </w:rPr>
        <w:t>. godini.</w:t>
      </w:r>
      <w:r w:rsidR="00B132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33E807" w14:textId="77777777" w:rsidR="006B166E" w:rsidRDefault="006B166E" w:rsidP="006B16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594D7A" w14:textId="77777777" w:rsidR="004243D3" w:rsidRPr="006C4C7E" w:rsidRDefault="004243D3" w:rsidP="004C5C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FE2D24" w14:textId="76A9EF80" w:rsidR="009575DF" w:rsidRPr="009575DF" w:rsidRDefault="008565F6" w:rsidP="00856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9575D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7916A686" w14:textId="77777777" w:rsidR="008565F6" w:rsidRDefault="008565F6" w:rsidP="00957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5B7BBE3" w14:textId="5C7B0634" w:rsidR="009575DF" w:rsidRPr="009575DF" w:rsidRDefault="007325EB" w:rsidP="00AD6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4AF9674" w14:textId="77777777" w:rsidR="004E3054" w:rsidRPr="009575DF" w:rsidRDefault="004E3054" w:rsidP="009575DF">
      <w:pPr>
        <w:rPr>
          <w:rFonts w:ascii="Times New Roman" w:hAnsi="Times New Roman" w:cs="Times New Roman"/>
          <w:sz w:val="24"/>
          <w:szCs w:val="24"/>
        </w:rPr>
      </w:pPr>
    </w:p>
    <w:sectPr w:rsidR="004E3054" w:rsidRPr="009575DF" w:rsidSect="001C59D0">
      <w:headerReference w:type="default" r:id="rId8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1E9A9" w14:textId="77777777" w:rsidR="00DC1581" w:rsidRDefault="00DC1581" w:rsidP="008A2A32">
      <w:pPr>
        <w:spacing w:after="0" w:line="240" w:lineRule="auto"/>
      </w:pPr>
      <w:r>
        <w:separator/>
      </w:r>
    </w:p>
  </w:endnote>
  <w:endnote w:type="continuationSeparator" w:id="0">
    <w:p w14:paraId="0F2AB7F0" w14:textId="77777777" w:rsidR="00DC1581" w:rsidRDefault="00DC1581" w:rsidP="008A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D90D4" w14:textId="77777777" w:rsidR="00DC1581" w:rsidRDefault="00DC1581" w:rsidP="008A2A32">
      <w:pPr>
        <w:spacing w:after="0" w:line="240" w:lineRule="auto"/>
      </w:pPr>
      <w:r>
        <w:separator/>
      </w:r>
    </w:p>
  </w:footnote>
  <w:footnote w:type="continuationSeparator" w:id="0">
    <w:p w14:paraId="6246E783" w14:textId="77777777" w:rsidR="00DC1581" w:rsidRDefault="00DC1581" w:rsidP="008A2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8919C" w14:textId="77777777" w:rsidR="001C59D0" w:rsidRDefault="001C59D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38F0"/>
    <w:multiLevelType w:val="hybridMultilevel"/>
    <w:tmpl w:val="13A853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B196D"/>
    <w:multiLevelType w:val="hybridMultilevel"/>
    <w:tmpl w:val="6BB0B18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B0F77"/>
    <w:multiLevelType w:val="hybridMultilevel"/>
    <w:tmpl w:val="C2B8BE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10B98"/>
    <w:multiLevelType w:val="hybridMultilevel"/>
    <w:tmpl w:val="E75C64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C22D6"/>
    <w:multiLevelType w:val="hybridMultilevel"/>
    <w:tmpl w:val="F6D874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03487"/>
    <w:multiLevelType w:val="hybridMultilevel"/>
    <w:tmpl w:val="6BB0B18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61292"/>
    <w:multiLevelType w:val="hybridMultilevel"/>
    <w:tmpl w:val="EBA47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43107"/>
    <w:multiLevelType w:val="hybridMultilevel"/>
    <w:tmpl w:val="153021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D02CBE"/>
    <w:multiLevelType w:val="hybridMultilevel"/>
    <w:tmpl w:val="1FB0F3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A0101"/>
    <w:multiLevelType w:val="hybridMultilevel"/>
    <w:tmpl w:val="153021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7426B"/>
    <w:multiLevelType w:val="hybridMultilevel"/>
    <w:tmpl w:val="FACC1F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AF2D77"/>
    <w:multiLevelType w:val="hybridMultilevel"/>
    <w:tmpl w:val="D2BAD3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CA3DEB"/>
    <w:multiLevelType w:val="hybridMultilevel"/>
    <w:tmpl w:val="F6D874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B64FA"/>
    <w:multiLevelType w:val="hybridMultilevel"/>
    <w:tmpl w:val="E9D4FA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607951">
    <w:abstractNumId w:val="13"/>
  </w:num>
  <w:num w:numId="2" w16cid:durableId="1074622718">
    <w:abstractNumId w:val="10"/>
  </w:num>
  <w:num w:numId="3" w16cid:durableId="867916440">
    <w:abstractNumId w:val="2"/>
  </w:num>
  <w:num w:numId="4" w16cid:durableId="11496871">
    <w:abstractNumId w:val="6"/>
  </w:num>
  <w:num w:numId="5" w16cid:durableId="1380860533">
    <w:abstractNumId w:val="11"/>
  </w:num>
  <w:num w:numId="6" w16cid:durableId="1487015194">
    <w:abstractNumId w:val="4"/>
  </w:num>
  <w:num w:numId="7" w16cid:durableId="109250696">
    <w:abstractNumId w:val="7"/>
  </w:num>
  <w:num w:numId="8" w16cid:durableId="1854420896">
    <w:abstractNumId w:val="9"/>
  </w:num>
  <w:num w:numId="9" w16cid:durableId="514878628">
    <w:abstractNumId w:val="12"/>
  </w:num>
  <w:num w:numId="10" w16cid:durableId="1857186974">
    <w:abstractNumId w:val="1"/>
  </w:num>
  <w:num w:numId="11" w16cid:durableId="876162709">
    <w:abstractNumId w:val="5"/>
  </w:num>
  <w:num w:numId="12" w16cid:durableId="326129962">
    <w:abstractNumId w:val="8"/>
  </w:num>
  <w:num w:numId="13" w16cid:durableId="1634554451">
    <w:abstractNumId w:val="0"/>
  </w:num>
  <w:num w:numId="14" w16cid:durableId="5779848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2B4"/>
    <w:rsid w:val="00002315"/>
    <w:rsid w:val="00027640"/>
    <w:rsid w:val="00076DF2"/>
    <w:rsid w:val="000B33B3"/>
    <w:rsid w:val="000C0D34"/>
    <w:rsid w:val="000D4641"/>
    <w:rsid w:val="000F2670"/>
    <w:rsid w:val="001013E7"/>
    <w:rsid w:val="00114E63"/>
    <w:rsid w:val="00131AFF"/>
    <w:rsid w:val="00134F0B"/>
    <w:rsid w:val="00160B24"/>
    <w:rsid w:val="00163C8F"/>
    <w:rsid w:val="00171C95"/>
    <w:rsid w:val="00171E6C"/>
    <w:rsid w:val="001C52B4"/>
    <w:rsid w:val="001C59D0"/>
    <w:rsid w:val="001C7E88"/>
    <w:rsid w:val="001F551F"/>
    <w:rsid w:val="001F637B"/>
    <w:rsid w:val="001F6876"/>
    <w:rsid w:val="001F78FA"/>
    <w:rsid w:val="00202357"/>
    <w:rsid w:val="00216806"/>
    <w:rsid w:val="0026186F"/>
    <w:rsid w:val="00280944"/>
    <w:rsid w:val="0030590B"/>
    <w:rsid w:val="00306776"/>
    <w:rsid w:val="00311B05"/>
    <w:rsid w:val="0031621D"/>
    <w:rsid w:val="00317907"/>
    <w:rsid w:val="00321365"/>
    <w:rsid w:val="00331850"/>
    <w:rsid w:val="00333B4F"/>
    <w:rsid w:val="00337A35"/>
    <w:rsid w:val="0036073B"/>
    <w:rsid w:val="00377597"/>
    <w:rsid w:val="003A2086"/>
    <w:rsid w:val="003C0F5A"/>
    <w:rsid w:val="003E45E2"/>
    <w:rsid w:val="003E545D"/>
    <w:rsid w:val="00415C8E"/>
    <w:rsid w:val="004243D3"/>
    <w:rsid w:val="00435F11"/>
    <w:rsid w:val="0046161F"/>
    <w:rsid w:val="004C5C0F"/>
    <w:rsid w:val="004C6195"/>
    <w:rsid w:val="004D36D8"/>
    <w:rsid w:val="004E3054"/>
    <w:rsid w:val="004E7BBB"/>
    <w:rsid w:val="004E7FFC"/>
    <w:rsid w:val="004F597F"/>
    <w:rsid w:val="0052114E"/>
    <w:rsid w:val="0053115E"/>
    <w:rsid w:val="005347D0"/>
    <w:rsid w:val="0054159D"/>
    <w:rsid w:val="005531D8"/>
    <w:rsid w:val="00584B5B"/>
    <w:rsid w:val="0058520B"/>
    <w:rsid w:val="005D6D43"/>
    <w:rsid w:val="005D7BD8"/>
    <w:rsid w:val="005E316C"/>
    <w:rsid w:val="00613AB3"/>
    <w:rsid w:val="00620007"/>
    <w:rsid w:val="00632AA8"/>
    <w:rsid w:val="00650AB2"/>
    <w:rsid w:val="00684FC8"/>
    <w:rsid w:val="006B166E"/>
    <w:rsid w:val="006C0A6D"/>
    <w:rsid w:val="006C135D"/>
    <w:rsid w:val="006E3377"/>
    <w:rsid w:val="006E3E5D"/>
    <w:rsid w:val="007027F6"/>
    <w:rsid w:val="00704EEE"/>
    <w:rsid w:val="007179DC"/>
    <w:rsid w:val="00721867"/>
    <w:rsid w:val="00724278"/>
    <w:rsid w:val="00730BBE"/>
    <w:rsid w:val="007325EB"/>
    <w:rsid w:val="007327EB"/>
    <w:rsid w:val="00755CAF"/>
    <w:rsid w:val="00776E3D"/>
    <w:rsid w:val="007976D8"/>
    <w:rsid w:val="00797C12"/>
    <w:rsid w:val="007A0E93"/>
    <w:rsid w:val="007A657C"/>
    <w:rsid w:val="007C64D7"/>
    <w:rsid w:val="007D371D"/>
    <w:rsid w:val="007F3796"/>
    <w:rsid w:val="00800457"/>
    <w:rsid w:val="00811632"/>
    <w:rsid w:val="008565F6"/>
    <w:rsid w:val="00871F61"/>
    <w:rsid w:val="00884FE6"/>
    <w:rsid w:val="008A2A32"/>
    <w:rsid w:val="008F42D5"/>
    <w:rsid w:val="0091495C"/>
    <w:rsid w:val="00916289"/>
    <w:rsid w:val="00920604"/>
    <w:rsid w:val="00951A10"/>
    <w:rsid w:val="009575DF"/>
    <w:rsid w:val="00971D34"/>
    <w:rsid w:val="009813B4"/>
    <w:rsid w:val="00990750"/>
    <w:rsid w:val="009D46C5"/>
    <w:rsid w:val="009E21BC"/>
    <w:rsid w:val="00A452A3"/>
    <w:rsid w:val="00A56589"/>
    <w:rsid w:val="00A62953"/>
    <w:rsid w:val="00A62B4D"/>
    <w:rsid w:val="00A62F71"/>
    <w:rsid w:val="00A96838"/>
    <w:rsid w:val="00AC39C4"/>
    <w:rsid w:val="00AD6101"/>
    <w:rsid w:val="00AD6AC6"/>
    <w:rsid w:val="00AE363D"/>
    <w:rsid w:val="00AF5056"/>
    <w:rsid w:val="00B03C16"/>
    <w:rsid w:val="00B11F10"/>
    <w:rsid w:val="00B1322D"/>
    <w:rsid w:val="00B264B0"/>
    <w:rsid w:val="00B60B60"/>
    <w:rsid w:val="00B734B5"/>
    <w:rsid w:val="00B833D0"/>
    <w:rsid w:val="00BA11E1"/>
    <w:rsid w:val="00BD78CB"/>
    <w:rsid w:val="00BE1A93"/>
    <w:rsid w:val="00BE6011"/>
    <w:rsid w:val="00C0115F"/>
    <w:rsid w:val="00C12F0A"/>
    <w:rsid w:val="00C16DEF"/>
    <w:rsid w:val="00C171F8"/>
    <w:rsid w:val="00C20F79"/>
    <w:rsid w:val="00C34781"/>
    <w:rsid w:val="00C35B15"/>
    <w:rsid w:val="00C431F7"/>
    <w:rsid w:val="00C440A9"/>
    <w:rsid w:val="00C44534"/>
    <w:rsid w:val="00C540B8"/>
    <w:rsid w:val="00C72A3D"/>
    <w:rsid w:val="00C72CFB"/>
    <w:rsid w:val="00C7356A"/>
    <w:rsid w:val="00C8195B"/>
    <w:rsid w:val="00CC011C"/>
    <w:rsid w:val="00CC1891"/>
    <w:rsid w:val="00CC2FE4"/>
    <w:rsid w:val="00D70DE4"/>
    <w:rsid w:val="00D97E2E"/>
    <w:rsid w:val="00DA5A6A"/>
    <w:rsid w:val="00DB7D6D"/>
    <w:rsid w:val="00DC0390"/>
    <w:rsid w:val="00DC1581"/>
    <w:rsid w:val="00DD7E9C"/>
    <w:rsid w:val="00DE32CF"/>
    <w:rsid w:val="00E02B7D"/>
    <w:rsid w:val="00E15D74"/>
    <w:rsid w:val="00E35ED8"/>
    <w:rsid w:val="00E37F12"/>
    <w:rsid w:val="00E43920"/>
    <w:rsid w:val="00E44B15"/>
    <w:rsid w:val="00E56776"/>
    <w:rsid w:val="00E57970"/>
    <w:rsid w:val="00E63DB4"/>
    <w:rsid w:val="00E97D7D"/>
    <w:rsid w:val="00EB44ED"/>
    <w:rsid w:val="00EB49B6"/>
    <w:rsid w:val="00EC4F6D"/>
    <w:rsid w:val="00ED41BC"/>
    <w:rsid w:val="00F649FA"/>
    <w:rsid w:val="00F9142F"/>
    <w:rsid w:val="00FB0595"/>
    <w:rsid w:val="00FC7E57"/>
    <w:rsid w:val="00FD083D"/>
    <w:rsid w:val="00FD1A5D"/>
    <w:rsid w:val="00FE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66F3"/>
  <w15:docId w15:val="{CE4CF6C7-A0C2-4B06-93CC-3A5D74481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52B4"/>
    <w:pPr>
      <w:ind w:left="720"/>
      <w:contextualSpacing/>
    </w:pPr>
  </w:style>
  <w:style w:type="paragraph" w:styleId="Bezproreda">
    <w:name w:val="No Spacing"/>
    <w:uiPriority w:val="1"/>
    <w:qFormat/>
    <w:rsid w:val="004E3054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0B24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8A2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A2A32"/>
  </w:style>
  <w:style w:type="paragraph" w:styleId="Podnoje">
    <w:name w:val="footer"/>
    <w:basedOn w:val="Normal"/>
    <w:link w:val="PodnojeChar"/>
    <w:uiPriority w:val="99"/>
    <w:unhideWhenUsed/>
    <w:rsid w:val="008A2A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A2A32"/>
  </w:style>
  <w:style w:type="paragraph" w:customStyle="1" w:styleId="Odlomakpopisa1">
    <w:name w:val="Odlomak popisa1"/>
    <w:basedOn w:val="Normal"/>
    <w:qFormat/>
    <w:rsid w:val="004E7FFC"/>
    <w:pPr>
      <w:spacing w:after="200" w:line="240" w:lineRule="auto"/>
      <w:ind w:left="720"/>
      <w:contextualSpacing/>
    </w:pPr>
    <w:rPr>
      <w:rFonts w:ascii="Arial" w:eastAsia="Calibri" w:hAnsi="Arial" w:cs="Arial"/>
    </w:rPr>
  </w:style>
  <w:style w:type="table" w:styleId="Reetkatablice">
    <w:name w:val="Table Grid"/>
    <w:basedOn w:val="Obinatablica"/>
    <w:uiPriority w:val="39"/>
    <w:rsid w:val="00534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3A971-5EEE-44EF-A40B-B3C06724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Gojko Soldo</cp:lastModifiedBy>
  <cp:revision>2</cp:revision>
  <cp:lastPrinted>2020-01-30T11:11:00Z</cp:lastPrinted>
  <dcterms:created xsi:type="dcterms:W3CDTF">2023-01-30T19:12:00Z</dcterms:created>
  <dcterms:modified xsi:type="dcterms:W3CDTF">2023-01-30T19:12:00Z</dcterms:modified>
</cp:coreProperties>
</file>