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414470" cy="54883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470" cy="548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41" w:lineRule="auto"/>
        <w:ind w:left="167" w:right="5794" w:firstLine="0"/>
        <w:rPr/>
      </w:pPr>
      <w:r w:rsidDel="00000000" w:rsidR="00000000" w:rsidRPr="00000000">
        <w:rPr>
          <w:rtl w:val="0"/>
        </w:rPr>
        <w:t xml:space="preserve">REPUBLIKA HRVATSKA VUKOVARSKO-SRIJEMSKA ŽUPANIJA OŠ ČAKOVCI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7" w:right="733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7" w:right="733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Urbroj: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7" w:right="733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Čakovci, 22.12.2022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line="259" w:lineRule="auto"/>
        <w:ind w:left="2830" w:right="2508" w:hanging="796"/>
        <w:rPr/>
      </w:pPr>
      <w:r w:rsidDel="00000000" w:rsidR="00000000" w:rsidRPr="00000000">
        <w:rPr>
          <w:rtl w:val="0"/>
        </w:rPr>
        <w:t xml:space="preserve">OBRAZLOŽENJE FINANCIJSKOG PLANA ZA 2023. I PROJEKCIJE ZA 2024. I 2025. GODINU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Rule="auto"/>
        <w:ind w:left="167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ZAKONSKE I DRUGE PODLOGE NA KOJIMA SE ZASNIVA PROGRAM RADA ŠKOLE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8" w:right="291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Ovaj program odnosno aktivnost je propisan slijedećim pravnim podlogama: 1.  Zakon o proračunu (NN 87/08, 136/12, 15/15 i 144/21)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9"/>
        </w:tabs>
        <w:spacing w:after="0" w:before="0" w:line="240" w:lineRule="auto"/>
        <w:ind w:left="888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 o proračunskom računovodstvu i Računskom planu (NN 124/14, 126/19 i 108/2020)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9"/>
        </w:tabs>
        <w:spacing w:after="0" w:before="0" w:line="240" w:lineRule="auto"/>
        <w:ind w:left="888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Zakon o fiskalnoj odgovornosti (NN 139/10, 19/14, 111/18)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9"/>
        </w:tabs>
        <w:spacing w:after="0" w:before="0" w:line="240" w:lineRule="auto"/>
        <w:ind w:left="888" w:right="659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Uredba o nazivima radnih mjesta i koeficijentima složenosti poslova u javnim službama (NN 25/13)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4.a Uredba o izmjenama i dopunama uredbe o nazivima radnih mjesta i koeficijentima složenosti poslova u javnim službama (NN 119/2019)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9"/>
        </w:tabs>
        <w:spacing w:after="0" w:before="1" w:line="240" w:lineRule="auto"/>
        <w:ind w:left="888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Temeljni kolektivni ugovor za službenike i namještenike u javnim službama (NN 56/22)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9"/>
        </w:tabs>
        <w:spacing w:after="0" w:before="0" w:line="240" w:lineRule="auto"/>
        <w:ind w:left="888" w:right="656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Upute za izradu proračuna jedinica lokalne i regionalne samouprave za razdoblje 2023. – 2025. ( Ministarstvo financija u svojoj Uputi 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9"/>
        </w:tabs>
        <w:spacing w:after="0" w:before="0" w:line="240" w:lineRule="auto"/>
        <w:ind w:left="888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Upute za izradu proračuna VSŽ za razdoblje 2023. do 2025. godine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9837"/>
        </w:tabs>
        <w:spacing w:before="228" w:lineRule="auto"/>
        <w:ind w:left="137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shd w:fill="1f3863" w:val="clear"/>
          <w:rtl w:val="0"/>
        </w:rPr>
        <w:t xml:space="preserve">1 .SAŽETAK DJELOKRUGA RADA PRORAČUNSKOG KORISNIKA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after="160" w:lineRule="auto"/>
        <w:ind w:left="141.73228346456688" w:right="548.74015748031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Osnovna škola Čakovci provodi program osnovnoškolskog obrazovanja, u matičnoj školi  Čakovci te u područnim školama Berak, Mikluševci i Tompojevci. U područnoj školi Bokšić održava se predškola u trajanju od 250 nastavnih sati.</w:t>
      </w:r>
    </w:p>
    <w:p w:rsidR="00000000" w:rsidDel="00000000" w:rsidP="00000000" w:rsidRDefault="00000000" w:rsidRPr="00000000" w14:paraId="0000001D">
      <w:pPr>
        <w:widowControl w:val="1"/>
        <w:spacing w:after="160" w:lineRule="auto"/>
        <w:ind w:left="141.73228346456688" w:right="548.74015748031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Nastava je organizirana u jutarnjoj smjeni, u obliku redovne, izborne, dodatne i dopunske nastave. Nastava se izvodi prema nastavnim planovima i programima, koje je donijelo Ministarstvo znanosti i obrazovanja  te po Godišnjem planu i programu rada škole te Školskom kurikulumu za školsku godinu 2022./2023.</w:t>
      </w:r>
    </w:p>
    <w:p w:rsidR="00000000" w:rsidDel="00000000" w:rsidP="00000000" w:rsidRDefault="00000000" w:rsidRPr="00000000" w14:paraId="0000001E">
      <w:pPr>
        <w:widowControl w:val="1"/>
        <w:spacing w:after="160" w:lineRule="auto"/>
        <w:ind w:left="141.73228346456688" w:right="548.74015748031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Školu polazi 56 učenika u 9 razrednih odjela. U školi radi 5 učitelja razredne nastave, 18 učitelja predmetne nastave, ravnateljica i 2 stručna suradnika, 2 administrativna djelatnika te 5 djelatnika pomoćnog i tehničkog osoblja.</w:t>
      </w:r>
    </w:p>
    <w:p w:rsidR="00000000" w:rsidDel="00000000" w:rsidP="00000000" w:rsidRDefault="00000000" w:rsidRPr="00000000" w14:paraId="0000001F">
      <w:pPr>
        <w:widowControl w:val="1"/>
        <w:spacing w:after="1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6172200" cy="456496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952050" y="3604753"/>
                          <a:ext cx="6159500" cy="440779"/>
                        </a:xfrm>
                        <a:custGeom>
                          <a:rect b="b" l="l" r="r" t="t"/>
                          <a:pathLst>
                            <a:path extrusionOk="0" h="350520" w="6159500">
                              <a:moveTo>
                                <a:pt x="0" y="0"/>
                              </a:moveTo>
                              <a:lnTo>
                                <a:pt x="0" y="350520"/>
                              </a:lnTo>
                              <a:lnTo>
                                <a:pt x="6159500" y="350520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8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0" w:right="30.999999046325684" w:firstLine="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3.	USKLAĐENOST	CILJEVA,   STRATEGIJE	I	PROGRAMA	S	DOKUMENTIMA DUGOROČNOG RAZVOJA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6172200" cy="456496"/>
                <wp:effectExtent b="0" l="0" r="0" t="0"/>
                <wp:wrapTopAndBottom distB="0" distT="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4564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67" w:right="658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Školske ustanove ne donose strateške, već godišnje operativne planove (GPP i Školski kurikulum) prema planu i programu koje je donijelo Ministarstvo znanosti, obrazovanja i športa . Također, planovi se donose za nastavnu, a ne fiskalnu godinu. To je uzrok mnogim odstupanjima u izvršenju financijskih planova, npr. pomak određenih aktivnosti unutar školske godine iz jednog polugodišta u drugo uzrokuje promjene u izvršenju financijskog plana za dvije fiskalne godine. </w:t>
      </w:r>
      <w:r w:rsidDel="00000000" w:rsidR="00000000" w:rsidRPr="00000000">
        <w:rPr>
          <w:sz w:val="24"/>
          <w:szCs w:val="24"/>
          <w:rtl w:val="0"/>
        </w:rPr>
        <w:t xml:space="preserve">Prioritet škole je  pružanje usluge obrazovanja i odgoja učenika te će se u skladu s tim i u naredne tri godine težiti podizanju kvalitete nastave na što višu razinu, stalnim i kvalitetnim usavršavanjem učitelja te poboljšanjem materijalnih i drugih uvjeta.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Učenike će se poticati na izražavanje kreativnosti, talenata i sposobnosti kroz uključivanje u slobodne aktivnosti, natjecanja te druge školske projekte, priredbe i manifestacije. Poticat će se razvoj pozitivnih vrijednosti i natjecateljskog duha  kao primjerice  izborom učenika generacije i sl. Slobodne aktivnosti bit će organizirane prema mogućnostima škole, a rad skupina predstavit će se tijekom školskih priredbi. Učitelji će tijekom školske godine sudjelovati na seminarima, webinarima, stručnim skupovima i aktivima.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7" w:right="6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520700</wp:posOffset>
                </wp:positionV>
                <wp:extent cx="6169025" cy="275658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52050" y="3692377"/>
                          <a:ext cx="6159500" cy="260261"/>
                        </a:xfrm>
                        <a:custGeom>
                          <a:rect b="b" l="l" r="r" t="t"/>
                          <a:pathLst>
                            <a:path extrusionOk="0" h="175260" w="615950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6159500" y="175260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0" w:right="0" w:firstLine="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Program: Odgojnoobrazovno, administrativno i tehničko osoblje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520700</wp:posOffset>
                </wp:positionV>
                <wp:extent cx="6169025" cy="275658"/>
                <wp:effectExtent b="0" l="0" r="0" t="0"/>
                <wp:wrapTopAndBottom distB="0" dist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025" cy="2756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6169025" cy="275658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952050" y="3692377"/>
                          <a:ext cx="6159500" cy="260261"/>
                        </a:xfrm>
                        <a:custGeom>
                          <a:rect b="b" l="l" r="r" t="t"/>
                          <a:pathLst>
                            <a:path extrusionOk="0" h="175260" w="615950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6159500" y="175260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8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0" w:right="0" w:firstLine="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4. PROGRAMI / AKTIVNOSTI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6169025" cy="275658"/>
                <wp:effectExtent b="0" l="0" r="0" t="0"/>
                <wp:wrapTopAndBottom distB="0" distT="0"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025" cy="2756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="261" w:lineRule="auto"/>
        <w:ind w:left="167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Aktivnost: </w:t>
      </w:r>
      <w:r w:rsidDel="00000000" w:rsidR="00000000" w:rsidRPr="00000000">
        <w:rPr>
          <w:sz w:val="24"/>
          <w:szCs w:val="24"/>
          <w:rtl w:val="0"/>
        </w:rPr>
        <w:t xml:space="preserve">Redovna djelatnost osnovnih škola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7" w:right="65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Podloga: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Zakon o plaćama u javnim službama (NN 27/01, 39/09, 127/17), Uredba o nazivima radnih mjesta i koeficijentima složenosti poslova u javnim službama (NN 25/13 i 151/14), Sporazum o dodacima na plaću u obrazovanju i znanosti od 25.11.2006. godine, Kolektivni ugovor za zaposlenike u osnovnoškolskim ustanovama (NN 51/18), Temeljni kolektivni ugovor za službenike i namještenike u javnim službama (NN 56/22)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6169025" cy="304174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952050" y="3692378"/>
                          <a:ext cx="6159500" cy="285236"/>
                        </a:xfrm>
                        <a:custGeom>
                          <a:rect b="b" l="l" r="r" t="t"/>
                          <a:pathLst>
                            <a:path extrusionOk="0" h="175260" w="615950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6159500" y="175260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0" w:right="0" w:firstLine="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Program: Pojačan standard u osnovnom školstvu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6169025" cy="304174"/>
                <wp:effectExtent b="0" l="0" r="0" t="0"/>
                <wp:wrapTopAndBottom distB="0" distT="0"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025" cy="3041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before="0" w:lineRule="auto"/>
        <w:ind w:left="167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Aktivnost: </w:t>
      </w:r>
      <w:r w:rsidDel="00000000" w:rsidR="00000000" w:rsidRPr="00000000">
        <w:rPr>
          <w:sz w:val="24"/>
          <w:szCs w:val="24"/>
          <w:rtl w:val="0"/>
        </w:rPr>
        <w:t xml:space="preserve">Užina za sve VII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Podloga: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Ugovor sklopljen sa Vukovarsko-srijemskom županijom za projekt: „Užina za sve VII“,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62" w:lineRule="auto"/>
        <w:ind w:left="167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Aktivnost: </w:t>
      </w:r>
      <w:r w:rsidDel="00000000" w:rsidR="00000000" w:rsidRPr="00000000">
        <w:rPr>
          <w:sz w:val="24"/>
          <w:szCs w:val="24"/>
          <w:rtl w:val="0"/>
        </w:rPr>
        <w:t xml:space="preserve">Školska užina</w:t>
      </w:r>
    </w:p>
    <w:p w:rsidR="00000000" w:rsidDel="00000000" w:rsidP="00000000" w:rsidRDefault="00000000" w:rsidRPr="00000000" w14:paraId="0000002E">
      <w:pPr>
        <w:spacing w:before="0" w:lineRule="auto"/>
        <w:ind w:left="167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Podloga: </w:t>
      </w:r>
      <w:r w:rsidDel="00000000" w:rsidR="00000000" w:rsidRPr="00000000">
        <w:rPr>
          <w:sz w:val="24"/>
          <w:szCs w:val="24"/>
          <w:rtl w:val="0"/>
        </w:rPr>
        <w:t xml:space="preserve">Ugovor sklopljen Općinom Tompojevic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Rule="auto"/>
        <w:ind w:left="167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Aktivnost: </w:t>
      </w:r>
      <w:r w:rsidDel="00000000" w:rsidR="00000000" w:rsidRPr="00000000">
        <w:rPr>
          <w:sz w:val="24"/>
          <w:szCs w:val="24"/>
          <w:rtl w:val="0"/>
        </w:rPr>
        <w:t xml:space="preserve">Shema mlijeka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7" w:right="38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Podloga: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Ugovor sklopljen s Vukovarsko-srijemskom županijom za projekt: „Školska shema 2022./23.“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7" w:right="381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67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Aktivnost: </w:t>
      </w:r>
      <w:r w:rsidDel="00000000" w:rsidR="00000000" w:rsidRPr="00000000">
        <w:rPr>
          <w:sz w:val="24"/>
          <w:szCs w:val="24"/>
          <w:rtl w:val="0"/>
        </w:rPr>
        <w:t xml:space="preserve">Shema Voća</w:t>
      </w:r>
    </w:p>
    <w:p w:rsidR="00000000" w:rsidDel="00000000" w:rsidP="00000000" w:rsidRDefault="00000000" w:rsidRPr="00000000" w14:paraId="00000035">
      <w:pPr>
        <w:ind w:left="167" w:right="381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Podloga: </w:t>
      </w:r>
      <w:r w:rsidDel="00000000" w:rsidR="00000000" w:rsidRPr="00000000">
        <w:rPr>
          <w:sz w:val="24"/>
          <w:szCs w:val="24"/>
          <w:rtl w:val="0"/>
        </w:rPr>
        <w:t xml:space="preserve">Ugovor sklopljen s Vukovarsko-srijemskom županijom za projekt: „Školska shema 2022./23.“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7" w:right="381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7" w:right="381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7" w:right="381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8"/>
          <w:tab w:val="left" w:pos="9837"/>
        </w:tabs>
        <w:spacing w:after="0" w:before="90" w:line="240" w:lineRule="auto"/>
        <w:ind w:left="408" w:right="0" w:hanging="27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4"/>
          <w:szCs w:val="24"/>
          <w:u w:val="none"/>
          <w:shd w:fill="1f3863" w:val="clear"/>
          <w:vertAlign w:val="baseline"/>
          <w:rtl w:val="0"/>
        </w:rPr>
        <w:t xml:space="preserve">PRIHODI I PRIMITCI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b w:val="1"/>
          <w:sz w:val="39"/>
          <w:szCs w:val="3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1845"/>
        <w:gridCol w:w="1440"/>
        <w:gridCol w:w="1605"/>
        <w:gridCol w:w="2040"/>
        <w:gridCol w:w="2085"/>
        <w:tblGridChange w:id="0">
          <w:tblGrid>
            <w:gridCol w:w="690"/>
            <w:gridCol w:w="1845"/>
            <w:gridCol w:w="1440"/>
            <w:gridCol w:w="1605"/>
            <w:gridCol w:w="2040"/>
            <w:gridCol w:w="208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Izvor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Naziv prihoda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Plan 2022.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Plan za 2023.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Projekcija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za 2024.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Projekcija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za 2025.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ind w:left="0" w:right="-250.3937007874017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Prihodi poslovanja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575.095,89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631.364,88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650.603,13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666.093,28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Pomoći iz inozemstva i od subjekata unutar općeg proračuna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473.156,81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522.600,00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536.400,00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545.200,00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Pomoći EU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Ostale pomoći MZO i Općina Tompojevic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465.193,44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516.600,00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531.400,00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540.200,00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Prihodi od upravnih i administrativnih pristojbi, pristojbi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posebnim propisima i nakanda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3.981,68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5.200,00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5.400,00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Prihodi za posebne namjene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3.981,68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5.200,00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5.400,00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Prihodi od prodaje proizvoda i robe te pruženih usluga i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prihodi od donacija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1.990,84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3.200,00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4.400,00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Vlastiti prihodi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1.990,84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3.200,00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3.400,00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Donacije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Prihodi iz nadležnog proračuna i od HZZO-a temeljem ugovornih obveza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95.966,55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100.764,88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105.803,13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111.093,28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Opći prihodi i primici ( VSŽ)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95.966,55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100.764,88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105.803,13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line="276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111.093,28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b w:val="1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firstLine="0"/>
        <w:jc w:val="right"/>
        <w:rPr>
          <w:sz w:val="24"/>
          <w:szCs w:val="24"/>
        </w:rPr>
        <w:sectPr>
          <w:footerReference r:id="rId12" w:type="default"/>
          <w:pgSz w:h="16840" w:w="11910" w:orient="portrait"/>
          <w:pgMar w:bottom="1180" w:top="1200" w:left="1080" w:right="360" w:header="360" w:footer="100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8"/>
          <w:tab w:val="left" w:pos="9837"/>
        </w:tabs>
        <w:spacing w:after="0" w:before="64" w:line="240" w:lineRule="auto"/>
        <w:ind w:left="408" w:right="0" w:hanging="27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4"/>
          <w:szCs w:val="24"/>
          <w:u w:val="none"/>
          <w:shd w:fill="1f3863" w:val="clear"/>
          <w:vertAlign w:val="baseline"/>
          <w:rtl w:val="0"/>
        </w:rPr>
        <w:t xml:space="preserve">RASHODI I IZDATCI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tabs>
          <w:tab w:val="left" w:pos="9837"/>
        </w:tabs>
        <w:spacing w:before="90" w:lineRule="auto"/>
        <w:ind w:left="141.73228346456688" w:right="548.7401574803164" w:firstLine="0"/>
        <w:rPr/>
      </w:pPr>
      <w:r w:rsidDel="00000000" w:rsidR="00000000" w:rsidRPr="00000000">
        <w:rPr>
          <w:shd w:fill="9cc2e4" w:val="clear"/>
          <w:rtl w:val="0"/>
        </w:rPr>
        <w:t xml:space="preserve"> Izvor financiranja: Ministarstvo znanosti i obrazovanja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ind w:left="141.73228346456688" w:right="548.74015748031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Planirano je da će se iz državnog proračuna ostvariti 495.709,41€ prihoda. Rashodi su planirani u istom iznos, na temelju trenutnog stanja i raspoloživih informacija.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Manja odstupanja su moguća jer se neki rashodi (bolovanja, pomoći i sl. naknade) ne mogu unaprijed predvidjeti. Rashodi za zaposlene obuhvaćaju plaće zaposlenika te ostale rashode za zaposlenike, kao što su: jubilarne nagrade, darovi za djecu, otpremnine, naknade za bolest, smrtne slučajeve, rođenje djece, naknadu za neiskorišteni godišnji odmor i dr. Uz rashode zaposlenih planirana su i rashodi nabavke udžbenika u iznosu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5.800,00 </w:t>
      </w:r>
      <w:r w:rsidDel="00000000" w:rsidR="00000000" w:rsidRPr="00000000">
        <w:rPr>
          <w:sz w:val="24"/>
          <w:szCs w:val="24"/>
          <w:rtl w:val="0"/>
        </w:rPr>
        <w:t xml:space="preserve">€.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548.7401574803164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41.73228346456688" w:right="548.740157480316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tabs>
          <w:tab w:val="left" w:pos="9837"/>
        </w:tabs>
        <w:spacing w:before="90" w:lineRule="auto"/>
        <w:ind w:left="141.73228346456688" w:right="548.7401574803164" w:firstLine="0"/>
        <w:rPr/>
      </w:pPr>
      <w:r w:rsidDel="00000000" w:rsidR="00000000" w:rsidRPr="00000000">
        <w:rPr>
          <w:b w:val="0"/>
          <w:shd w:fill="9cc2e4" w:val="clear"/>
          <w:rtl w:val="0"/>
        </w:rPr>
        <w:t xml:space="preserve"> </w:t>
      </w:r>
      <w:r w:rsidDel="00000000" w:rsidR="00000000" w:rsidRPr="00000000">
        <w:rPr>
          <w:shd w:fill="9cc2e4" w:val="clear"/>
          <w:rtl w:val="0"/>
        </w:rPr>
        <w:t xml:space="preserve">Izvor financiranja: Općina Tompojevic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141.73228346456688" w:right="548.740157480316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spacing w:line="259" w:lineRule="auto"/>
        <w:ind w:left="141.73228346456688" w:right="548.740157480316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Pomoći iz općinskog proračuna </w:t>
      </w:r>
    </w:p>
    <w:p w:rsidR="00000000" w:rsidDel="00000000" w:rsidP="00000000" w:rsidRDefault="00000000" w:rsidRPr="00000000" w14:paraId="00000095">
      <w:pPr>
        <w:widowControl w:val="1"/>
        <w:spacing w:line="259" w:lineRule="auto"/>
        <w:ind w:left="141.73228346456688" w:right="548.74015748031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Koriste se za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financiranje režija područne škole Bokšić, za troškove predškole te školske udžbenike, a planirano je da će se  iz proračuna Općine u tu svrhu ostvariti 9.290,59 € prihoda.</w:t>
      </w:r>
    </w:p>
    <w:p w:rsidR="00000000" w:rsidDel="00000000" w:rsidP="00000000" w:rsidRDefault="00000000" w:rsidRPr="00000000" w14:paraId="00000096">
      <w:pPr>
        <w:widowControl w:val="1"/>
        <w:ind w:left="141.73228346456688" w:right="548.740157480316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1"/>
        <w:ind w:left="141.73228346456688" w:right="548.7401574803164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-Prihodi za posebne namjene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ind w:left="141.73228346456688" w:right="548.7401574803164" w:firstLine="0"/>
        <w:jc w:val="both"/>
        <w:rPr>
          <w:sz w:val="24"/>
          <w:szCs w:val="24"/>
        </w:rPr>
        <w:sectPr>
          <w:type w:val="nextPage"/>
          <w:pgSz w:h="16840" w:w="11910" w:orient="portrait"/>
          <w:pgMar w:bottom="1180" w:top="940" w:left="1080" w:right="360" w:header="0" w:footer="1000"/>
        </w:sectPr>
      </w:pPr>
      <w:r w:rsidDel="00000000" w:rsidR="00000000" w:rsidRPr="00000000">
        <w:rPr>
          <w:sz w:val="24"/>
          <w:szCs w:val="24"/>
          <w:rtl w:val="0"/>
        </w:rPr>
        <w:t xml:space="preserve">Planirani su prihodi u iznosu od 5.000,00 €. Obuhvaćaju prihode namijenjene za sufinanciranje prehrane učenika te će se u tu svrhu u potpunosti potrošiti. Dio prehrane sufinancira općina, dio županija , a dio projekt „Vrijeme je za užinu VII.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tabs>
          <w:tab w:val="left" w:pos="9837"/>
        </w:tabs>
        <w:spacing w:before="64" w:lineRule="auto"/>
        <w:ind w:left="0" w:firstLine="0"/>
        <w:jc w:val="both"/>
        <w:rPr/>
      </w:pPr>
      <w:r w:rsidDel="00000000" w:rsidR="00000000" w:rsidRPr="00000000">
        <w:rPr>
          <w:shd w:fill="9cc2e4" w:val="clear"/>
          <w:rtl w:val="0"/>
        </w:rPr>
        <w:t xml:space="preserve"> Izvor financiranja: Vukovarsko-srijemska županija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7" w:right="65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Izračun troškova koji se financiraju iz nadležnog proračuna temeljeni su </w:t>
      </w:r>
      <w:r w:rsidDel="00000000" w:rsidR="00000000" w:rsidRPr="00000000">
        <w:rPr>
          <w:sz w:val="24"/>
          <w:szCs w:val="24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proračun</w:t>
      </w:r>
      <w:r w:rsidDel="00000000" w:rsidR="00000000" w:rsidRPr="00000000">
        <w:rPr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 2022. godini, s planiranim </w:t>
      </w:r>
      <w:r w:rsidDel="00000000" w:rsidR="00000000" w:rsidRPr="00000000">
        <w:rPr>
          <w:sz w:val="24"/>
          <w:szCs w:val="24"/>
          <w:rtl w:val="0"/>
        </w:rPr>
        <w:t xml:space="preserve">povećanjem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troškova zbog inflacije.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1"/>
        <w:ind w:left="141.73228346456688" w:right="548.74015748031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Županija financira tekuće izdatke škole, investicijsko održavanje školskog prostora, opreme, nastavnih sredstava i pomagala te tekuće održavanje prema određenim kriterijima. </w:t>
      </w:r>
    </w:p>
    <w:p w:rsidR="00000000" w:rsidDel="00000000" w:rsidP="00000000" w:rsidRDefault="00000000" w:rsidRPr="00000000" w14:paraId="0000009E">
      <w:pPr>
        <w:widowControl w:val="1"/>
        <w:ind w:left="141.73228346456688" w:right="548.74015748031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Planirano je da će se iz županijskog proračuna ostvariti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100.764,88</w:t>
      </w:r>
      <w:r w:rsidDel="00000000" w:rsidR="00000000" w:rsidRPr="00000000">
        <w:rPr>
          <w:sz w:val="24"/>
          <w:szCs w:val="24"/>
          <w:rtl w:val="0"/>
        </w:rPr>
        <w:t xml:space="preserve"> € ˘prihoda, kojima će se financirati materijalni i financijski rashodi te rashodi za nabavu nefinancijske imovine. </w:t>
      </w:r>
    </w:p>
    <w:p w:rsidR="00000000" w:rsidDel="00000000" w:rsidP="00000000" w:rsidRDefault="00000000" w:rsidRPr="00000000" w14:paraId="0000009F">
      <w:pPr>
        <w:widowControl w:val="1"/>
        <w:ind w:left="141.73228346456688" w:right="548.74015748031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Opći troškovi (ured. materijal, komunalne usluge i naknade, HT, izdaci za nabavu pribora za izvođenje nastavnog plana i programa, nabava sitnog inventara i ostalo) planirani su u iznosu od 1.900 €. Troškovi su planirani prema prioritetima funkcioniranja škole. Energenti, hitne intervencije, prijevoz učenika  te usluge obveznih zdravstvenih i sistematskih pregleda zaposlenika planirani su prema prijašnjim godinama te tekućoj godini, a Županija ih financira u stvarnom trošku. </w:t>
      </w:r>
    </w:p>
    <w:p w:rsidR="00000000" w:rsidDel="00000000" w:rsidP="00000000" w:rsidRDefault="00000000" w:rsidRPr="00000000" w14:paraId="000000A0">
      <w:pPr>
        <w:widowControl w:val="1"/>
        <w:ind w:left="141.73228346456688" w:right="548.74015748031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Prijevoz učenika za 2023. godinu iznosi 55.000,00 € , a procjena je rađena na temelju dnevnih iznosa određenih od strane Čazmatransa i broja nastavnih dana tijekom 2023. godine.</w:t>
      </w:r>
    </w:p>
    <w:p w:rsidR="00000000" w:rsidDel="00000000" w:rsidP="00000000" w:rsidRDefault="00000000" w:rsidRPr="00000000" w14:paraId="000000A1">
      <w:pPr>
        <w:widowControl w:val="1"/>
        <w:ind w:left="141.73228346456688" w:right="548.74015748031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 županijskog proračuna predviđeno je financiranje rashoda za nabavu nefinancijske imovine u iznosu od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696,79 </w:t>
      </w:r>
      <w:r w:rsidDel="00000000" w:rsidR="00000000" w:rsidRPr="00000000">
        <w:rPr>
          <w:sz w:val="24"/>
          <w:szCs w:val="24"/>
          <w:rtl w:val="0"/>
        </w:rPr>
        <w:t xml:space="preserve">€</w:t>
      </w:r>
      <w:r w:rsidDel="00000000" w:rsidR="00000000" w:rsidRPr="00000000">
        <w:rPr>
          <w:sz w:val="24"/>
          <w:szCs w:val="24"/>
          <w:rtl w:val="0"/>
        </w:rPr>
        <w:t xml:space="preserve"> . Županija u stvarnom iznosu financira i sve ostale nepredviđene troškove škole.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57"/>
        </w:tabs>
        <w:spacing w:after="0" w:before="22" w:line="259" w:lineRule="auto"/>
        <w:ind w:left="141.73228346456688" w:right="6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1"/>
        <w:ind w:left="141.73228346456688" w:right="548.7401574803164" w:firstLine="0"/>
        <w:rPr/>
      </w:pPr>
      <w:r w:rsidDel="00000000" w:rsidR="00000000" w:rsidRPr="00000000">
        <w:rPr>
          <w:rtl w:val="0"/>
        </w:rPr>
        <w:t xml:space="preserve">Shema voća i povrća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41.73228346456688" w:right="548.740157480316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57"/>
        </w:tabs>
        <w:spacing w:after="0" w:before="1" w:line="259" w:lineRule="auto"/>
        <w:ind w:left="141.73228346456688" w:right="548.74015748031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U shemi sudjeluje </w:t>
      </w:r>
      <w:r w:rsidDel="00000000" w:rsidR="00000000" w:rsidRPr="00000000">
        <w:rPr>
          <w:sz w:val="24"/>
          <w:szCs w:val="24"/>
          <w:rtl w:val="0"/>
        </w:rPr>
        <w:t xml:space="preserve"> 56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učenika. Provedba 12 – 24 tjedna. </w:t>
      </w:r>
      <w:r w:rsidDel="00000000" w:rsidR="00000000" w:rsidRPr="00000000">
        <w:rPr>
          <w:rtl w:val="0"/>
        </w:rPr>
        <w:t xml:space="preserve">Shema mlijeka </w:t>
      </w:r>
      <w:r w:rsidDel="00000000" w:rsidR="00000000" w:rsidRPr="00000000">
        <w:rPr>
          <w:sz w:val="24"/>
          <w:szCs w:val="24"/>
          <w:rtl w:val="0"/>
        </w:rPr>
        <w:t xml:space="preserve">U školskoj godini 2022./20233. škola sudjeluje, pa se izračun temelji na prosjeku troškova proteklih godina za 2023. predviđena su sredstva 305.72 €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141.73228346456688" w:right="548.740157480316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Shema mlijeka i mliječnih proizvoda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57"/>
        </w:tabs>
        <w:spacing w:after="0" w:before="0" w:line="259" w:lineRule="auto"/>
        <w:ind w:left="141.73228346456688" w:right="548.74015748031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 shemi sudjeluje </w:t>
      </w:r>
      <w:r w:rsidDel="00000000" w:rsidR="00000000" w:rsidRPr="00000000">
        <w:rPr>
          <w:sz w:val="24"/>
          <w:szCs w:val="24"/>
          <w:rtl w:val="0"/>
        </w:rPr>
        <w:t xml:space="preserve"> 56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učenika. Provedba 12 – 24 tjedna. U školskoj godini 2022./20233. škola sudjeluje, pa se izračun temelji na prosjeku troškova proteklih godina</w:t>
      </w:r>
      <w:r w:rsidDel="00000000" w:rsidR="00000000" w:rsidRPr="00000000">
        <w:rPr>
          <w:sz w:val="24"/>
          <w:szCs w:val="24"/>
          <w:rtl w:val="0"/>
        </w:rPr>
        <w:t xml:space="preserve"> za 2023. predviđena su sredstva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256,00 </w:t>
      </w:r>
      <w:r w:rsidDel="00000000" w:rsidR="00000000" w:rsidRPr="00000000">
        <w:rPr>
          <w:sz w:val="24"/>
          <w:szCs w:val="24"/>
          <w:rtl w:val="0"/>
        </w:rPr>
        <w:t xml:space="preserve">€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57"/>
        </w:tabs>
        <w:spacing w:after="0" w:before="0" w:line="259" w:lineRule="auto"/>
        <w:ind w:left="141.73228346456688" w:right="548.740157480316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1"/>
        <w:tabs>
          <w:tab w:val="left" w:pos="9837"/>
        </w:tabs>
        <w:spacing w:before="90" w:lineRule="auto"/>
        <w:ind w:left="141.73228346456688" w:right="548.7401574803164" w:firstLine="0"/>
        <w:jc w:val="both"/>
        <w:rPr/>
      </w:pPr>
      <w:r w:rsidDel="00000000" w:rsidR="00000000" w:rsidRPr="00000000">
        <w:rPr>
          <w:shd w:fill="9cc2e4" w:val="clear"/>
          <w:rtl w:val="0"/>
        </w:rPr>
        <w:t xml:space="preserve"> Izvor financiranja: Vlastiti prihodi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41.73228346456688" w:right="548.7401574803164" w:firstLine="0"/>
        <w:jc w:val="left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41.73228346456688" w:right="548.7401574803164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 </w:t>
      </w: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Izračun troškova koji se financiraju iz vlastitih prihoda temeljen je na prošloj godini uvećan za inflaciju, predviđeni troškovi u iznosu 3.000,00 </w:t>
      </w:r>
      <w:r w:rsidDel="00000000" w:rsidR="00000000" w:rsidRPr="00000000">
        <w:rPr>
          <w:sz w:val="24"/>
          <w:szCs w:val="24"/>
          <w:rtl w:val="0"/>
        </w:rPr>
        <w:t xml:space="preserve">utrošiti će se u materijalne rashode za funkcioniranje škole.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141.73228346456688" w:right="548.74015748031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548.74015748031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Financijski plan za 2023 god. i projekcija za 2024. i 2025. god. razmatrat će se na Školskom odboru.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1"/>
        <w:spacing w:before="1" w:lineRule="auto"/>
        <w:ind w:left="5833" w:firstLine="0"/>
        <w:rPr/>
      </w:pPr>
      <w:r w:rsidDel="00000000" w:rsidR="00000000" w:rsidRPr="00000000">
        <w:rPr>
          <w:rtl w:val="0"/>
        </w:rPr>
        <w:t xml:space="preserve">Ravnateljica škole: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Marina Balić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03100" y="3779365"/>
                          <a:ext cx="2057400" cy="1270"/>
                        </a:xfrm>
                        <a:custGeom>
                          <a:rect b="b" l="l" r="r" t="t"/>
                          <a:pathLst>
                            <a:path extrusionOk="0" h="1270" w="2057400">
                              <a:moveTo>
                                <a:pt x="0" y="0"/>
                              </a:moveTo>
                              <a:lnTo>
                                <a:pt x="205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180" w:top="940" w:left="1080" w:right="360" w:header="0" w:footer="100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6146800</wp:posOffset>
              </wp:positionH>
              <wp:positionV relativeFrom="paragraph">
                <wp:posOffset>9906000</wp:posOffset>
              </wp:positionV>
              <wp:extent cx="227965" cy="1746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922580" y="3697450"/>
                        <a:ext cx="218440" cy="165100"/>
                      </a:xfrm>
                      <a:custGeom>
                        <a:rect b="b" l="l" r="r" t="t"/>
                        <a:pathLst>
                          <a:path extrusionOk="0" h="165100" w="218440">
                            <a:moveTo>
                              <a:pt x="0" y="0"/>
                            </a:moveTo>
                            <a:lnTo>
                              <a:pt x="0" y="165100"/>
                            </a:lnTo>
                            <a:lnTo>
                              <a:pt x="218440" y="165100"/>
                            </a:lnTo>
                            <a:lnTo>
                              <a:pt x="2184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3.99999618530273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10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6146800</wp:posOffset>
              </wp:positionH>
              <wp:positionV relativeFrom="paragraph">
                <wp:posOffset>9906000</wp:posOffset>
              </wp:positionV>
              <wp:extent cx="227965" cy="17462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96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408" w:hanging="270"/>
      </w:pPr>
      <w:rPr>
        <w:rFonts w:ascii="Times New Roman" w:cs="Times New Roman" w:eastAsia="Times New Roman" w:hAnsi="Times New Roman"/>
        <w:b w:val="1"/>
        <w:color w:val="ffffff"/>
        <w:sz w:val="24"/>
        <w:szCs w:val="24"/>
        <w:shd w:fill="1f3863" w:val="clear"/>
      </w:rPr>
    </w:lvl>
    <w:lvl w:ilvl="1">
      <w:start w:val="2"/>
      <w:numFmt w:val="decimal"/>
      <w:lvlText w:val="%1.%2."/>
      <w:lvlJc w:val="left"/>
      <w:pPr>
        <w:ind w:left="588" w:hanging="451.00000000000006"/>
      </w:pPr>
      <w:rPr>
        <w:rFonts w:ascii="Times New Roman" w:cs="Times New Roman" w:eastAsia="Times New Roman" w:hAnsi="Times New Roman"/>
        <w:b w:val="1"/>
        <w:sz w:val="24"/>
        <w:szCs w:val="24"/>
        <w:shd w:fill="9cc2e4" w:val="clear"/>
      </w:rPr>
    </w:lvl>
    <w:lvl w:ilvl="2">
      <w:start w:val="0"/>
      <w:numFmt w:val="bullet"/>
      <w:lvlText w:val="●"/>
      <w:lvlJc w:val="left"/>
      <w:pPr>
        <w:ind w:left="1234" w:hanging="360.9999999999999"/>
      </w:pPr>
      <w:rPr>
        <w:rFonts w:ascii="Noto Sans Symbols" w:cs="Noto Sans Symbols" w:eastAsia="Noto Sans Symbols" w:hAnsi="Noto Sans Symbols"/>
        <w:sz w:val="24"/>
        <w:szCs w:val="24"/>
      </w:rPr>
    </w:lvl>
    <w:lvl w:ilvl="3">
      <w:start w:val="0"/>
      <w:numFmt w:val="bullet"/>
      <w:lvlText w:val="•"/>
      <w:lvlJc w:val="left"/>
      <w:pPr>
        <w:ind w:left="2393" w:hanging="360.9999999999998"/>
      </w:pPr>
      <w:rPr/>
    </w:lvl>
    <w:lvl w:ilvl="4">
      <w:start w:val="0"/>
      <w:numFmt w:val="bullet"/>
      <w:lvlText w:val="•"/>
      <w:lvlJc w:val="left"/>
      <w:pPr>
        <w:ind w:left="3546" w:hanging="361"/>
      </w:pPr>
      <w:rPr/>
    </w:lvl>
    <w:lvl w:ilvl="5">
      <w:start w:val="0"/>
      <w:numFmt w:val="bullet"/>
      <w:lvlText w:val="•"/>
      <w:lvlJc w:val="left"/>
      <w:pPr>
        <w:ind w:left="4699" w:hanging="361"/>
      </w:pPr>
      <w:rPr/>
    </w:lvl>
    <w:lvl w:ilvl="6">
      <w:start w:val="0"/>
      <w:numFmt w:val="bullet"/>
      <w:lvlText w:val="•"/>
      <w:lvlJc w:val="left"/>
      <w:pPr>
        <w:ind w:left="5853" w:hanging="361.0000000000009"/>
      </w:pPr>
      <w:rPr/>
    </w:lvl>
    <w:lvl w:ilvl="7">
      <w:start w:val="0"/>
      <w:numFmt w:val="bullet"/>
      <w:lvlText w:val="•"/>
      <w:lvlJc w:val="left"/>
      <w:pPr>
        <w:ind w:left="7006" w:hanging="361"/>
      </w:pPr>
      <w:rPr/>
    </w:lvl>
    <w:lvl w:ilvl="8">
      <w:start w:val="0"/>
      <w:numFmt w:val="bullet"/>
      <w:lvlText w:val="•"/>
      <w:lvlJc w:val="left"/>
      <w:pPr>
        <w:ind w:left="8159" w:hanging="361"/>
      </w:pPr>
      <w:rPr/>
    </w:lvl>
  </w:abstractNum>
  <w:abstractNum w:abstractNumId="2">
    <w:lvl w:ilvl="0">
      <w:start w:val="10"/>
      <w:numFmt w:val="decimal"/>
      <w:lvlText w:val="%1."/>
      <w:lvlJc w:val="left"/>
      <w:pPr>
        <w:ind w:left="528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2"/>
      <w:numFmt w:val="decimal"/>
      <w:lvlText w:val="%2."/>
      <w:lvlJc w:val="left"/>
      <w:pPr>
        <w:ind w:left="888" w:hanging="361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0"/>
      <w:numFmt w:val="bullet"/>
      <w:lvlText w:val="•"/>
      <w:lvlJc w:val="left"/>
      <w:pPr>
        <w:ind w:left="1945" w:hanging="361"/>
      </w:pPr>
      <w:rPr/>
    </w:lvl>
    <w:lvl w:ilvl="3">
      <w:start w:val="0"/>
      <w:numFmt w:val="bullet"/>
      <w:lvlText w:val="•"/>
      <w:lvlJc w:val="left"/>
      <w:pPr>
        <w:ind w:left="3010" w:hanging="361"/>
      </w:pPr>
      <w:rPr/>
    </w:lvl>
    <w:lvl w:ilvl="4">
      <w:start w:val="0"/>
      <w:numFmt w:val="bullet"/>
      <w:lvlText w:val="•"/>
      <w:lvlJc w:val="left"/>
      <w:pPr>
        <w:ind w:left="4075" w:hanging="361"/>
      </w:pPr>
      <w:rPr/>
    </w:lvl>
    <w:lvl w:ilvl="5">
      <w:start w:val="0"/>
      <w:numFmt w:val="bullet"/>
      <w:lvlText w:val="•"/>
      <w:lvlJc w:val="left"/>
      <w:pPr>
        <w:ind w:left="5140" w:hanging="361"/>
      </w:pPr>
      <w:rPr/>
    </w:lvl>
    <w:lvl w:ilvl="6">
      <w:start w:val="0"/>
      <w:numFmt w:val="bullet"/>
      <w:lvlText w:val="•"/>
      <w:lvlJc w:val="left"/>
      <w:pPr>
        <w:ind w:left="6205" w:hanging="361"/>
      </w:pPr>
      <w:rPr/>
    </w:lvl>
    <w:lvl w:ilvl="7">
      <w:start w:val="0"/>
      <w:numFmt w:val="bullet"/>
      <w:lvlText w:val="•"/>
      <w:lvlJc w:val="left"/>
      <w:pPr>
        <w:ind w:left="7270" w:hanging="361"/>
      </w:pPr>
      <w:rPr/>
    </w:lvl>
    <w:lvl w:ilvl="8">
      <w:start w:val="0"/>
      <w:numFmt w:val="bullet"/>
      <w:lvlText w:val="•"/>
      <w:lvlJc w:val="left"/>
      <w:pPr>
        <w:ind w:left="8335" w:hanging="36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hr-H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34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hr-HR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hr-HR"/>
    </w:rPr>
  </w:style>
  <w:style w:type="paragraph" w:styleId="Heading1">
    <w:name w:val="Heading 1"/>
    <w:basedOn w:val="Normal"/>
    <w:uiPriority w:val="1"/>
    <w:qFormat w:val="1"/>
    <w:pPr>
      <w:ind w:left="1234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hr-HR"/>
    </w:rPr>
  </w:style>
  <w:style w:type="paragraph" w:styleId="ListParagraph">
    <w:name w:val="List Paragraph"/>
    <w:basedOn w:val="Normal"/>
    <w:uiPriority w:val="1"/>
    <w:qFormat w:val="1"/>
    <w:pPr>
      <w:spacing w:line="293" w:lineRule="exact"/>
      <w:ind w:left="1234" w:hanging="361"/>
    </w:pPr>
    <w:rPr>
      <w:rFonts w:ascii="Times New Roman" w:cs="Times New Roman" w:eastAsia="Times New Roman" w:hAnsi="Times New Roman"/>
      <w:lang w:bidi="ar-SA" w:eastAsia="en-US" w:val="hr-HR"/>
    </w:rPr>
  </w:style>
  <w:style w:type="paragraph" w:styleId="TableParagraph">
    <w:name w:val="Table Paragraph"/>
    <w:basedOn w:val="Normal"/>
    <w:uiPriority w:val="1"/>
    <w:qFormat w:val="1"/>
    <w:pPr>
      <w:spacing w:line="256" w:lineRule="exact"/>
    </w:pPr>
    <w:rPr>
      <w:rFonts w:ascii="Times New Roman" w:cs="Times New Roman" w:eastAsia="Times New Roman" w:hAnsi="Times New Roman"/>
      <w:lang w:bidi="ar-SA" w:eastAsia="en-US"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VOqNR4QtnM2yyT4Ulfo9s5uRQ==">AMUW2mUCd3H/jc9oi3RUrfMOY4wBz5uM2v/+LFLZXIpW6kaQTvu1ZIuemld/HoPQt1rEcotvfaevM0dotp4MRyKYEC/notdnA+5JqMkfOMPxGj5f4x+72xE=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2022-12-21T19:23:34Z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2022-12-21T00:00:00Z</vt:filetime>
  </property>
</Properties>
</file>