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a46eb0ca904b2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23147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ČAKOVCI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271.906,08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282.623,74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335.043,07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283.756,22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63.136,99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479,22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63.616,21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1.132,48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1,8</w:t>
            </w:r>
          </w:p>
        </w:tc>
      </w:tr>
    </w:tbl>
    <w:p>
      <w:pPr>
        <w:spacing w:before="0" w:after="0"/>
      </w:pPr>
    </w:p>
    <w:p>
      <w:r>
        <w:t xml:space="preserve">Škola Čakovci ostvarila je rast prihoda u 2026.godini te oni iznose 282.623,74 eur. Većina prihoda odnosi se na prihode za plaće i materijalna prava zaposlenih, a dijelom i za projekta cjelodnevne nastave. Prihodi za provođenje projekta cjelodnevne nastave ove godine su rasli, većinom zbog povećanja aktivnosti B2 grupa. </w:t>
      </w:r>
    </w:p>
    <w:p>
      <w:r>
        <w:t xml:space="preserve">Rashodi u  prvom kvartalu 2026.godine iznose 283,756,22 i odnose se većinom na plaće za zaposlene i materijalne rashode. Ulaganja u opremu u prvom kvartalu nije bilo.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provodi projekt Školske sheme voća, povrća i mlijeka. Škola je povukla prve količine sufinancirane od EU projekata, uplate se očekuju u narednim mjesecima.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e0dd9ad13c44e2" /></Relationships>
</file>